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FAA66" w14:textId="1F2606CC" w:rsidR="00E5506D" w:rsidRPr="00E31682" w:rsidRDefault="002638E7" w:rsidP="00E31682">
      <w:pPr>
        <w:spacing w:after="0"/>
        <w:contextualSpacing/>
        <w:jc w:val="center"/>
        <w:rPr>
          <w:rFonts w:ascii="Calibri" w:hAnsi="Calibri"/>
          <w:sz w:val="24"/>
          <w:szCs w:val="24"/>
        </w:rPr>
      </w:pPr>
      <w:r w:rsidRPr="00E31682">
        <w:rPr>
          <w:rFonts w:ascii="Calibri" w:hAnsi="Calibri"/>
          <w:sz w:val="24"/>
          <w:szCs w:val="24"/>
        </w:rPr>
        <w:t>Mel Durrett</w:t>
      </w:r>
    </w:p>
    <w:p w14:paraId="2074431C" w14:textId="2EF91F64" w:rsidR="00076A3C" w:rsidRPr="00F31252" w:rsidRDefault="002638E7" w:rsidP="00685AD5">
      <w:pPr>
        <w:spacing w:after="0"/>
        <w:contextualSpacing/>
        <w:jc w:val="center"/>
        <w:rPr>
          <w:rFonts w:ascii="Calibri" w:hAnsi="Calibri"/>
          <w:b/>
          <w:sz w:val="24"/>
          <w:szCs w:val="24"/>
        </w:rPr>
      </w:pPr>
      <w:r w:rsidRPr="00F31252">
        <w:rPr>
          <w:rFonts w:ascii="Calibri" w:hAnsi="Calibri"/>
          <w:b/>
          <w:sz w:val="24"/>
          <w:szCs w:val="24"/>
        </w:rPr>
        <w:t>ADEC Drinking Water (Safe Drinking Water Act</w:t>
      </w:r>
      <w:r w:rsidR="00EC40A1">
        <w:rPr>
          <w:rFonts w:ascii="Calibri" w:hAnsi="Calibri"/>
          <w:b/>
          <w:sz w:val="24"/>
          <w:szCs w:val="24"/>
        </w:rPr>
        <w:t>, SDWA</w:t>
      </w:r>
      <w:r w:rsidRPr="00F31252">
        <w:rPr>
          <w:rFonts w:ascii="Calibri" w:hAnsi="Calibri"/>
          <w:b/>
          <w:sz w:val="24"/>
          <w:szCs w:val="24"/>
        </w:rPr>
        <w:t>)</w:t>
      </w:r>
    </w:p>
    <w:p w14:paraId="273F4F9B" w14:textId="77777777" w:rsidR="00076A3C" w:rsidRPr="00E31682" w:rsidRDefault="00076A3C" w:rsidP="00685AD5">
      <w:pPr>
        <w:spacing w:after="0"/>
        <w:contextualSpacing/>
        <w:jc w:val="center"/>
        <w:rPr>
          <w:rFonts w:ascii="Calibri" w:hAnsi="Calibri" w:cs="Segoe UI"/>
          <w:color w:val="000000"/>
        </w:rPr>
      </w:pPr>
    </w:p>
    <w:p w14:paraId="42DDBD42" w14:textId="77777777" w:rsidR="00BC3EDB" w:rsidRPr="00E31682" w:rsidRDefault="002638E7" w:rsidP="00685AD5">
      <w:pPr>
        <w:spacing w:after="0"/>
        <w:contextualSpacing/>
        <w:rPr>
          <w:rFonts w:ascii="Calibri" w:hAnsi="Calibri"/>
          <w:b/>
          <w:u w:val="single"/>
        </w:rPr>
      </w:pPr>
      <w:r w:rsidRPr="00E31682">
        <w:rPr>
          <w:rFonts w:ascii="Calibri" w:hAnsi="Calibri"/>
          <w:b/>
          <w:u w:val="single"/>
        </w:rPr>
        <w:t>SUMMARY</w:t>
      </w:r>
      <w:r w:rsidR="00B51DAF" w:rsidRPr="00E31682">
        <w:rPr>
          <w:rFonts w:ascii="Calibri" w:hAnsi="Calibri"/>
        </w:rPr>
        <w:t xml:space="preserve">  </w:t>
      </w:r>
    </w:p>
    <w:p w14:paraId="4FB25F8C" w14:textId="007F95F0" w:rsidR="00076A3C" w:rsidRPr="00E31682" w:rsidRDefault="002638E7" w:rsidP="00685AD5">
      <w:pPr>
        <w:spacing w:after="0"/>
        <w:contextualSpacing/>
        <w:rPr>
          <w:rFonts w:ascii="Calibri" w:hAnsi="Calibri"/>
        </w:rPr>
      </w:pPr>
      <w:r w:rsidRPr="00E31682">
        <w:rPr>
          <w:rFonts w:ascii="Calibri" w:hAnsi="Calibri"/>
        </w:rPr>
        <w:t xml:space="preserve">The Safe Drinking Water Act (SDWA; 1974) enables the U.S. Environmental Protection Agency (EPA) to protect the public health by ensuring safe drinking water and protecting its sources.  The EPA sets health-based limits for &gt;90 contaminants in drinking water and </w:t>
      </w:r>
      <w:proofErr w:type="gramStart"/>
      <w:r w:rsidRPr="00E31682">
        <w:rPr>
          <w:rFonts w:ascii="Calibri" w:hAnsi="Calibri"/>
        </w:rPr>
        <w:t>requires</w:t>
      </w:r>
      <w:proofErr w:type="gramEnd"/>
      <w:r w:rsidRPr="00E31682">
        <w:rPr>
          <w:rFonts w:ascii="Calibri" w:hAnsi="Calibri"/>
        </w:rPr>
        <w:t xml:space="preserve"> public reporting of water quality in public water systems (PWS).  The Alaska Department of Environmental Conservation (ADEC) has primacy for enforcing the SDWA in Alaska.</w:t>
      </w:r>
      <w:r w:rsidR="00056C8C" w:rsidRPr="00E31682">
        <w:rPr>
          <w:rFonts w:ascii="Calibri" w:hAnsi="Calibri"/>
        </w:rPr>
        <w:t xml:space="preserve">  Permits to construct, alter, waive usual requirements, or operate PWS are handled by ADEC.</w:t>
      </w:r>
    </w:p>
    <w:p w14:paraId="09085E25" w14:textId="77777777" w:rsidR="002638E7" w:rsidRPr="00E31682" w:rsidRDefault="002638E7" w:rsidP="00685AD5">
      <w:pPr>
        <w:spacing w:after="0"/>
        <w:ind w:firstLine="720"/>
        <w:contextualSpacing/>
        <w:rPr>
          <w:rFonts w:ascii="Calibri" w:hAnsi="Calibri"/>
        </w:rPr>
      </w:pPr>
    </w:p>
    <w:p w14:paraId="21107494" w14:textId="77777777" w:rsidR="00076A3C" w:rsidRPr="00E31682" w:rsidRDefault="00076A3C" w:rsidP="00685AD5">
      <w:pPr>
        <w:spacing w:after="0"/>
        <w:contextualSpacing/>
        <w:rPr>
          <w:rFonts w:ascii="Calibri" w:hAnsi="Calibri"/>
          <w:b/>
          <w:u w:val="single"/>
        </w:rPr>
      </w:pPr>
      <w:r w:rsidRPr="00E31682">
        <w:rPr>
          <w:rFonts w:ascii="Calibri" w:hAnsi="Calibri"/>
          <w:b/>
          <w:u w:val="single"/>
        </w:rPr>
        <w:t>Permit Name</w:t>
      </w:r>
    </w:p>
    <w:p w14:paraId="0F552204" w14:textId="77777777" w:rsidR="00076A3C" w:rsidRPr="00E31682" w:rsidRDefault="002638E7" w:rsidP="00685AD5">
      <w:pPr>
        <w:spacing w:after="0"/>
        <w:contextualSpacing/>
        <w:rPr>
          <w:rFonts w:ascii="Calibri" w:hAnsi="Calibri"/>
        </w:rPr>
      </w:pPr>
      <w:r w:rsidRPr="00E31682">
        <w:rPr>
          <w:rFonts w:ascii="Calibri" w:hAnsi="Calibri"/>
        </w:rPr>
        <w:t>Approval to Construct a Public Water System (PWS)</w:t>
      </w:r>
    </w:p>
    <w:p w14:paraId="5006BB89" w14:textId="6AB529D7" w:rsidR="002638E7" w:rsidRPr="00E31682" w:rsidRDefault="002638E7" w:rsidP="00685AD5">
      <w:pPr>
        <w:spacing w:after="0"/>
        <w:contextualSpacing/>
        <w:rPr>
          <w:rFonts w:ascii="Calibri" w:hAnsi="Calibri"/>
        </w:rPr>
      </w:pPr>
      <w:r w:rsidRPr="00E31682">
        <w:rPr>
          <w:rFonts w:ascii="Calibri" w:hAnsi="Calibri"/>
        </w:rPr>
        <w:t xml:space="preserve">Approval to Operate </w:t>
      </w:r>
      <w:r w:rsidR="00A8204A" w:rsidRPr="00E31682">
        <w:rPr>
          <w:rFonts w:ascii="Calibri" w:hAnsi="Calibri"/>
        </w:rPr>
        <w:t>Public Water System (PWS)</w:t>
      </w:r>
    </w:p>
    <w:p w14:paraId="2D554692" w14:textId="77777777" w:rsidR="002638E7" w:rsidRPr="00E31682" w:rsidRDefault="002638E7" w:rsidP="00685AD5">
      <w:pPr>
        <w:spacing w:after="0"/>
        <w:ind w:firstLine="720"/>
        <w:contextualSpacing/>
        <w:rPr>
          <w:rFonts w:ascii="Calibri" w:hAnsi="Calibri"/>
        </w:rPr>
      </w:pPr>
    </w:p>
    <w:p w14:paraId="3B8113AD" w14:textId="77777777" w:rsidR="00076A3C" w:rsidRPr="00E31682" w:rsidRDefault="00076A3C" w:rsidP="00685AD5">
      <w:pPr>
        <w:spacing w:after="0" w:line="240" w:lineRule="auto"/>
        <w:contextualSpacing/>
        <w:jc w:val="both"/>
        <w:rPr>
          <w:rFonts w:ascii="Calibri" w:hAnsi="Calibri"/>
          <w:u w:val="single"/>
        </w:rPr>
      </w:pPr>
      <w:bookmarkStart w:id="0" w:name="h.4d2re5q2wdoj" w:colFirst="0" w:colLast="0"/>
      <w:bookmarkEnd w:id="0"/>
      <w:r w:rsidRPr="00E31682">
        <w:rPr>
          <w:rFonts w:ascii="Calibri" w:hAnsi="Calibri"/>
          <w:b/>
          <w:u w:val="single"/>
        </w:rPr>
        <w:t>APPLICABILITY</w:t>
      </w:r>
    </w:p>
    <w:p w14:paraId="61DC9602" w14:textId="77777777" w:rsidR="00076A3C" w:rsidRPr="00E31682" w:rsidRDefault="002638E7" w:rsidP="00685AD5">
      <w:pPr>
        <w:spacing w:after="0"/>
        <w:contextualSpacing/>
        <w:rPr>
          <w:rFonts w:ascii="Calibri" w:hAnsi="Calibri"/>
        </w:rPr>
      </w:pPr>
      <w:r w:rsidRPr="00E31682">
        <w:rPr>
          <w:rFonts w:ascii="Calibri" w:hAnsi="Calibri"/>
        </w:rPr>
        <w:t xml:space="preserve">You want to construct </w:t>
      </w:r>
      <w:r w:rsidR="009D4374" w:rsidRPr="00E31682">
        <w:rPr>
          <w:rFonts w:ascii="Calibri" w:hAnsi="Calibri"/>
        </w:rPr>
        <w:t>a new Public Water System or alter the configuration of a PWS (</w:t>
      </w:r>
      <w:r w:rsidRPr="00E31682">
        <w:rPr>
          <w:rFonts w:ascii="Calibri" w:hAnsi="Calibri"/>
        </w:rPr>
        <w:t>beyond routine maintenance), or request a waiver for distances between water and sewer lines.</w:t>
      </w:r>
    </w:p>
    <w:p w14:paraId="6673B379" w14:textId="77777777" w:rsidR="002638E7" w:rsidRPr="00E31682" w:rsidRDefault="002638E7" w:rsidP="00685AD5">
      <w:pPr>
        <w:spacing w:after="0"/>
        <w:contextualSpacing/>
        <w:rPr>
          <w:rFonts w:ascii="Calibri" w:hAnsi="Calibri"/>
        </w:rPr>
      </w:pPr>
    </w:p>
    <w:p w14:paraId="7FB9269C" w14:textId="77777777" w:rsidR="00076A3C" w:rsidRPr="00E31682" w:rsidRDefault="00076A3C" w:rsidP="00685AD5">
      <w:pPr>
        <w:spacing w:after="0"/>
        <w:contextualSpacing/>
        <w:rPr>
          <w:rFonts w:ascii="Calibri" w:hAnsi="Calibri"/>
          <w:b/>
          <w:u w:val="single"/>
        </w:rPr>
      </w:pPr>
      <w:r w:rsidRPr="00E31682">
        <w:rPr>
          <w:rFonts w:ascii="Calibri" w:hAnsi="Calibri"/>
          <w:b/>
          <w:u w:val="single"/>
        </w:rPr>
        <w:t>PROCESSING TIMES</w:t>
      </w:r>
    </w:p>
    <w:p w14:paraId="7D0B1FF6" w14:textId="77777777" w:rsidR="002638E7" w:rsidRPr="00E31682" w:rsidRDefault="002638E7" w:rsidP="00685AD5">
      <w:pPr>
        <w:spacing w:after="0"/>
        <w:contextualSpacing/>
        <w:rPr>
          <w:rFonts w:ascii="Calibri" w:hAnsi="Calibri"/>
        </w:rPr>
      </w:pPr>
      <w:proofErr w:type="gramStart"/>
      <w:r w:rsidRPr="00E31682">
        <w:rPr>
          <w:rFonts w:ascii="Calibri" w:hAnsi="Calibri"/>
        </w:rPr>
        <w:t xml:space="preserve">Materials due 30 days before construction begins, or 60 days if state/federal funding </w:t>
      </w:r>
      <w:r w:rsidR="009D4374" w:rsidRPr="00E31682">
        <w:rPr>
          <w:rFonts w:ascii="Calibri" w:hAnsi="Calibri"/>
        </w:rPr>
        <w:t>is used.</w:t>
      </w:r>
      <w:proofErr w:type="gramEnd"/>
      <w:r w:rsidR="009D4374" w:rsidRPr="00E31682">
        <w:rPr>
          <w:rFonts w:ascii="Calibri" w:hAnsi="Calibri"/>
        </w:rPr>
        <w:t xml:space="preserve">  Construction will be approved or denied within 30 days of receipt of complete information and fee payment.</w:t>
      </w:r>
    </w:p>
    <w:p w14:paraId="2ED612C9" w14:textId="77777777" w:rsidR="002638E7" w:rsidRPr="00E31682" w:rsidRDefault="002638E7" w:rsidP="00685AD5">
      <w:pPr>
        <w:spacing w:after="0"/>
        <w:contextualSpacing/>
        <w:rPr>
          <w:rFonts w:ascii="Calibri" w:hAnsi="Calibri"/>
          <w:b/>
          <w:u w:val="single"/>
        </w:rPr>
      </w:pPr>
    </w:p>
    <w:p w14:paraId="659B6A94" w14:textId="77777777" w:rsidR="00BC3EDB" w:rsidRPr="00E31682" w:rsidRDefault="002638E7" w:rsidP="00685AD5">
      <w:pPr>
        <w:spacing w:after="0"/>
        <w:contextualSpacing/>
        <w:rPr>
          <w:rFonts w:ascii="Calibri" w:hAnsi="Calibri"/>
          <w:b/>
          <w:u w:val="single"/>
        </w:rPr>
      </w:pPr>
      <w:r w:rsidRPr="00E31682">
        <w:rPr>
          <w:rFonts w:ascii="Calibri" w:hAnsi="Calibri"/>
          <w:b/>
          <w:u w:val="single"/>
        </w:rPr>
        <w:t>Agency Coordination</w:t>
      </w:r>
    </w:p>
    <w:p w14:paraId="1654AD80" w14:textId="77777777" w:rsidR="009D4374" w:rsidRPr="00E31682" w:rsidRDefault="002638E7" w:rsidP="00685AD5">
      <w:pPr>
        <w:spacing w:after="0"/>
        <w:contextualSpacing/>
        <w:rPr>
          <w:rFonts w:ascii="Calibri" w:hAnsi="Calibri"/>
        </w:rPr>
      </w:pPr>
      <w:r w:rsidRPr="00E31682">
        <w:rPr>
          <w:rFonts w:ascii="Calibri" w:hAnsi="Calibri"/>
        </w:rPr>
        <w:t>Alaska Department of Environmental Conservation (ADEC) has primacy for enforcement</w:t>
      </w:r>
      <w:proofErr w:type="gramStart"/>
      <w:r w:rsidRPr="00E31682">
        <w:rPr>
          <w:rFonts w:ascii="Calibri" w:hAnsi="Calibri"/>
        </w:rPr>
        <w:t>;</w:t>
      </w:r>
      <w:proofErr w:type="gramEnd"/>
      <w:r w:rsidRPr="00E31682">
        <w:rPr>
          <w:rFonts w:ascii="Calibri" w:hAnsi="Calibri"/>
        </w:rPr>
        <w:t xml:space="preserve"> </w:t>
      </w:r>
    </w:p>
    <w:p w14:paraId="4990B308" w14:textId="77777777" w:rsidR="00BC3EDB" w:rsidRPr="00E31682" w:rsidRDefault="002638E7" w:rsidP="00685AD5">
      <w:pPr>
        <w:spacing w:after="0"/>
        <w:contextualSpacing/>
        <w:rPr>
          <w:rFonts w:ascii="Calibri" w:hAnsi="Calibri"/>
        </w:rPr>
      </w:pPr>
      <w:r w:rsidRPr="00E31682">
        <w:rPr>
          <w:rFonts w:ascii="Calibri" w:hAnsi="Calibri"/>
        </w:rPr>
        <w:t>U.S. Environmental Protection Agency (EPA) sets the federal regulations of the SDWA.</w:t>
      </w:r>
    </w:p>
    <w:p w14:paraId="4F312833" w14:textId="77777777" w:rsidR="00FC4023" w:rsidRPr="00E31682" w:rsidRDefault="00FC4023" w:rsidP="00685AD5">
      <w:pPr>
        <w:spacing w:after="0"/>
        <w:contextualSpacing/>
        <w:rPr>
          <w:rFonts w:ascii="Calibri" w:hAnsi="Calibri"/>
        </w:rPr>
      </w:pPr>
      <w:r w:rsidRPr="00E31682">
        <w:rPr>
          <w:rFonts w:ascii="Calibri" w:hAnsi="Calibri"/>
        </w:rPr>
        <w:t>Consultation Process</w:t>
      </w:r>
      <w:r w:rsidR="002638E7" w:rsidRPr="00E31682">
        <w:rPr>
          <w:rFonts w:ascii="Calibri" w:hAnsi="Calibri"/>
        </w:rPr>
        <w:t>: If you want to construct/alter/improve a PWS, start early by calling ADEC.</w:t>
      </w:r>
    </w:p>
    <w:p w14:paraId="2BE014C1" w14:textId="77777777" w:rsidR="002638E7" w:rsidRPr="00E31682" w:rsidRDefault="002638E7" w:rsidP="00685AD5">
      <w:pPr>
        <w:spacing w:after="0"/>
        <w:contextualSpacing/>
        <w:rPr>
          <w:rFonts w:ascii="Calibri" w:hAnsi="Calibri"/>
        </w:rPr>
      </w:pPr>
    </w:p>
    <w:p w14:paraId="4E88FCFD" w14:textId="2C9CDEA7" w:rsidR="005C3146" w:rsidRPr="00E31682" w:rsidRDefault="00685AD5" w:rsidP="00685AD5">
      <w:pPr>
        <w:spacing w:after="0"/>
        <w:contextualSpacing/>
        <w:rPr>
          <w:rFonts w:ascii="Calibri" w:hAnsi="Calibri" w:cs="Segoe UI"/>
          <w:b/>
          <w:color w:val="000000"/>
          <w:u w:val="single"/>
        </w:rPr>
      </w:pPr>
      <w:r w:rsidRPr="00E31682">
        <w:rPr>
          <w:rFonts w:ascii="Calibri" w:hAnsi="Calibri" w:cs="Segoe UI"/>
          <w:b/>
          <w:color w:val="000000"/>
          <w:u w:val="single"/>
        </w:rPr>
        <w:t>Information Necessary</w:t>
      </w:r>
    </w:p>
    <w:p w14:paraId="4868BC82" w14:textId="1FE6944D" w:rsidR="00E5506D" w:rsidRPr="00E31682" w:rsidRDefault="00E5506D" w:rsidP="00685AD5">
      <w:pPr>
        <w:spacing w:after="0"/>
        <w:contextualSpacing/>
        <w:rPr>
          <w:rFonts w:ascii="Calibri" w:hAnsi="Calibri" w:cs="Segoe UI"/>
          <w:color w:val="000000"/>
        </w:rPr>
      </w:pPr>
      <w:proofErr w:type="gramStart"/>
      <w:r w:rsidRPr="00E31682">
        <w:rPr>
          <w:rFonts w:ascii="Calibri" w:hAnsi="Calibri" w:cs="Segoe UI"/>
          <w:color w:val="000000"/>
        </w:rPr>
        <w:t xml:space="preserve">Long </w:t>
      </w:r>
      <w:r w:rsidR="00F31252" w:rsidRPr="00E31682">
        <w:rPr>
          <w:rFonts w:ascii="Calibri" w:hAnsi="Calibri" w:cs="Segoe UI"/>
          <w:color w:val="000000"/>
        </w:rPr>
        <w:t xml:space="preserve">list of </w:t>
      </w:r>
      <w:r w:rsidRPr="00E31682">
        <w:rPr>
          <w:rFonts w:ascii="Calibri" w:hAnsi="Calibri" w:cs="Segoe UI"/>
          <w:color w:val="000000"/>
        </w:rPr>
        <w:t>checklist</w:t>
      </w:r>
      <w:r w:rsidR="00F31252" w:rsidRPr="00E31682">
        <w:rPr>
          <w:rFonts w:ascii="Calibri" w:hAnsi="Calibri" w:cs="Segoe UI"/>
          <w:color w:val="000000"/>
        </w:rPr>
        <w:t>s</w:t>
      </w:r>
      <w:r w:rsidRPr="00E31682">
        <w:rPr>
          <w:rFonts w:ascii="Calibri" w:hAnsi="Calibri" w:cs="Segoe UI"/>
          <w:color w:val="000000"/>
        </w:rPr>
        <w:t xml:space="preserve"> at </w:t>
      </w:r>
      <w:hyperlink r:id="rId6" w:history="1">
        <w:r w:rsidRPr="00E31682">
          <w:rPr>
            <w:rStyle w:val="Hyperlink"/>
            <w:rFonts w:ascii="Calibri" w:hAnsi="Calibri" w:cs="Segoe UI"/>
          </w:rPr>
          <w:t>https://dec.alaska.gov/eh/dw/engineering/plan-review-checklist/</w:t>
        </w:r>
      </w:hyperlink>
      <w:r w:rsidRPr="00E31682">
        <w:rPr>
          <w:rFonts w:ascii="Calibri" w:hAnsi="Calibri" w:cs="Segoe UI"/>
          <w:color w:val="000000"/>
        </w:rPr>
        <w:t xml:space="preserve"> (not all will be necessary).</w:t>
      </w:r>
      <w:proofErr w:type="gramEnd"/>
      <w:r w:rsidRPr="00E31682">
        <w:rPr>
          <w:rFonts w:ascii="Calibri" w:hAnsi="Calibri" w:cs="Segoe UI"/>
          <w:color w:val="000000"/>
        </w:rPr>
        <w:t xml:space="preserve">  Includes:</w:t>
      </w:r>
    </w:p>
    <w:p w14:paraId="039B3692" w14:textId="24ABC889" w:rsidR="00E5506D" w:rsidRPr="00E31682" w:rsidRDefault="00E5506D" w:rsidP="00685AD5">
      <w:pPr>
        <w:pStyle w:val="ListParagraph"/>
        <w:numPr>
          <w:ilvl w:val="0"/>
          <w:numId w:val="21"/>
        </w:numPr>
        <w:rPr>
          <w:rFonts w:ascii="Calibri" w:hAnsi="Calibri" w:cs="Segoe UI"/>
          <w:color w:val="000000"/>
          <w:sz w:val="22"/>
          <w:szCs w:val="22"/>
        </w:rPr>
      </w:pPr>
      <w:r w:rsidRPr="00E31682">
        <w:rPr>
          <w:rFonts w:ascii="Calibri" w:hAnsi="Calibri" w:cs="Segoe UI"/>
          <w:color w:val="000000"/>
          <w:sz w:val="22"/>
          <w:szCs w:val="22"/>
        </w:rPr>
        <w:t>Facility</w:t>
      </w:r>
      <w:r w:rsidR="00F31252" w:rsidRPr="00E31682">
        <w:rPr>
          <w:rFonts w:ascii="Calibri" w:hAnsi="Calibri" w:cs="Segoe UI"/>
          <w:color w:val="000000"/>
          <w:sz w:val="22"/>
          <w:szCs w:val="22"/>
        </w:rPr>
        <w:t>/project</w:t>
      </w:r>
      <w:r w:rsidRPr="00E31682">
        <w:rPr>
          <w:rFonts w:ascii="Calibri" w:hAnsi="Calibri" w:cs="Segoe UI"/>
          <w:color w:val="000000"/>
          <w:sz w:val="22"/>
          <w:szCs w:val="22"/>
        </w:rPr>
        <w:t xml:space="preserve"> </w:t>
      </w:r>
      <w:r w:rsidR="00F31252" w:rsidRPr="00E31682">
        <w:rPr>
          <w:rFonts w:ascii="Calibri" w:hAnsi="Calibri" w:cs="Segoe UI"/>
          <w:color w:val="000000"/>
          <w:sz w:val="22"/>
          <w:szCs w:val="22"/>
        </w:rPr>
        <w:t>details</w:t>
      </w:r>
      <w:r w:rsidR="005741C5" w:rsidRPr="00E31682">
        <w:rPr>
          <w:rFonts w:ascii="Calibri" w:hAnsi="Calibri" w:cs="Segoe UI"/>
          <w:color w:val="000000"/>
          <w:sz w:val="22"/>
          <w:szCs w:val="22"/>
        </w:rPr>
        <w:t xml:space="preserve"> including complete set of design plans, indicating explicitly what parts have been built already and what parts are new/altered</w:t>
      </w:r>
    </w:p>
    <w:p w14:paraId="06964C11" w14:textId="5931C68B" w:rsidR="00E5506D" w:rsidRPr="00E31682" w:rsidRDefault="00E5506D" w:rsidP="00685AD5">
      <w:pPr>
        <w:pStyle w:val="ListParagraph"/>
        <w:numPr>
          <w:ilvl w:val="0"/>
          <w:numId w:val="21"/>
        </w:numPr>
        <w:rPr>
          <w:rFonts w:ascii="Calibri" w:hAnsi="Calibri" w:cs="Segoe UI"/>
          <w:color w:val="000000"/>
          <w:sz w:val="22"/>
          <w:szCs w:val="22"/>
        </w:rPr>
      </w:pPr>
      <w:r w:rsidRPr="00E31682">
        <w:rPr>
          <w:rFonts w:ascii="Calibri" w:hAnsi="Calibri" w:cs="Segoe UI"/>
          <w:color w:val="000000"/>
          <w:sz w:val="22"/>
          <w:szCs w:val="22"/>
        </w:rPr>
        <w:t>Owner</w:t>
      </w:r>
      <w:r w:rsidR="00F31252" w:rsidRPr="00E31682">
        <w:rPr>
          <w:rFonts w:ascii="Calibri" w:hAnsi="Calibri" w:cs="Segoe UI"/>
          <w:color w:val="000000"/>
          <w:sz w:val="22"/>
          <w:szCs w:val="22"/>
        </w:rPr>
        <w:t xml:space="preserve"> details</w:t>
      </w:r>
    </w:p>
    <w:p w14:paraId="3B41EB77" w14:textId="051083C0" w:rsidR="00E5506D" w:rsidRPr="00E31682" w:rsidRDefault="00E5506D" w:rsidP="00685AD5">
      <w:pPr>
        <w:pStyle w:val="ListParagraph"/>
        <w:numPr>
          <w:ilvl w:val="0"/>
          <w:numId w:val="21"/>
        </w:numPr>
        <w:rPr>
          <w:rFonts w:ascii="Calibri" w:hAnsi="Calibri" w:cs="Segoe UI"/>
          <w:color w:val="000000"/>
          <w:sz w:val="22"/>
          <w:szCs w:val="22"/>
        </w:rPr>
      </w:pPr>
      <w:r w:rsidRPr="00E31682">
        <w:rPr>
          <w:rFonts w:ascii="Calibri" w:hAnsi="Calibri" w:cs="Segoe UI"/>
          <w:color w:val="000000"/>
          <w:sz w:val="22"/>
          <w:szCs w:val="22"/>
        </w:rPr>
        <w:t xml:space="preserve">Source of </w:t>
      </w:r>
      <w:r w:rsidR="00F31252" w:rsidRPr="00E31682">
        <w:rPr>
          <w:rFonts w:ascii="Calibri" w:hAnsi="Calibri" w:cs="Segoe UI"/>
          <w:color w:val="000000"/>
          <w:sz w:val="22"/>
          <w:szCs w:val="22"/>
        </w:rPr>
        <w:t xml:space="preserve">the </w:t>
      </w:r>
      <w:r w:rsidRPr="00E31682">
        <w:rPr>
          <w:rFonts w:ascii="Calibri" w:hAnsi="Calibri" w:cs="Segoe UI"/>
          <w:color w:val="000000"/>
          <w:sz w:val="22"/>
          <w:szCs w:val="22"/>
        </w:rPr>
        <w:t>water</w:t>
      </w:r>
      <w:r w:rsidR="00F31252" w:rsidRPr="00E31682">
        <w:rPr>
          <w:rFonts w:ascii="Calibri" w:hAnsi="Calibri" w:cs="Segoe UI"/>
          <w:color w:val="000000"/>
          <w:sz w:val="22"/>
          <w:szCs w:val="22"/>
        </w:rPr>
        <w:t xml:space="preserve"> (groundwater, surface, rain, sea, etc.)</w:t>
      </w:r>
    </w:p>
    <w:p w14:paraId="659B06B5" w14:textId="4A506B4F" w:rsidR="00F31252" w:rsidRPr="00E31682" w:rsidRDefault="00F31252" w:rsidP="00685AD5">
      <w:pPr>
        <w:pStyle w:val="ListParagraph"/>
        <w:numPr>
          <w:ilvl w:val="0"/>
          <w:numId w:val="21"/>
        </w:numPr>
        <w:rPr>
          <w:rFonts w:ascii="Calibri" w:hAnsi="Calibri" w:cs="Segoe UI"/>
          <w:color w:val="000000"/>
          <w:sz w:val="22"/>
          <w:szCs w:val="22"/>
        </w:rPr>
      </w:pPr>
      <w:r w:rsidRPr="00E31682">
        <w:rPr>
          <w:rFonts w:ascii="Calibri" w:hAnsi="Calibri" w:cs="Segoe UI"/>
          <w:color w:val="000000"/>
          <w:sz w:val="22"/>
          <w:szCs w:val="22"/>
        </w:rPr>
        <w:t>Storage and distribution details</w:t>
      </w:r>
      <w:r w:rsidR="00A8204A" w:rsidRPr="00E31682">
        <w:rPr>
          <w:rFonts w:ascii="Calibri" w:hAnsi="Calibri" w:cs="Segoe UI"/>
          <w:color w:val="000000"/>
          <w:sz w:val="22"/>
          <w:szCs w:val="22"/>
        </w:rPr>
        <w:t xml:space="preserve"> (tanks and water trucks, etc.)</w:t>
      </w:r>
    </w:p>
    <w:p w14:paraId="2BFD6A4C" w14:textId="2B032B4E" w:rsidR="00F31252" w:rsidRPr="00E31682" w:rsidRDefault="00F31252" w:rsidP="00685AD5">
      <w:pPr>
        <w:pStyle w:val="ListParagraph"/>
        <w:numPr>
          <w:ilvl w:val="0"/>
          <w:numId w:val="21"/>
        </w:numPr>
        <w:rPr>
          <w:rFonts w:ascii="Calibri" w:hAnsi="Calibri" w:cs="Segoe UI"/>
          <w:color w:val="000000"/>
          <w:sz w:val="22"/>
          <w:szCs w:val="22"/>
        </w:rPr>
      </w:pPr>
      <w:r w:rsidRPr="00E31682">
        <w:rPr>
          <w:rFonts w:ascii="Calibri" w:hAnsi="Calibri" w:cs="Segoe UI"/>
          <w:color w:val="000000"/>
          <w:sz w:val="22"/>
          <w:szCs w:val="22"/>
        </w:rPr>
        <w:t>Treatment method(s) details</w:t>
      </w:r>
      <w:r w:rsidR="00A8204A" w:rsidRPr="00E31682">
        <w:rPr>
          <w:rFonts w:ascii="Calibri" w:hAnsi="Calibri" w:cs="Segoe UI"/>
          <w:color w:val="000000"/>
          <w:sz w:val="22"/>
          <w:szCs w:val="22"/>
        </w:rPr>
        <w:t xml:space="preserve"> (filtration, ozone, corrosion control, etc.)</w:t>
      </w:r>
    </w:p>
    <w:p w14:paraId="527DC271" w14:textId="39A7BAA8" w:rsidR="00F31252" w:rsidRPr="00E31682" w:rsidRDefault="00F31252" w:rsidP="00685AD5">
      <w:pPr>
        <w:pStyle w:val="ListParagraph"/>
        <w:numPr>
          <w:ilvl w:val="0"/>
          <w:numId w:val="21"/>
        </w:numPr>
        <w:rPr>
          <w:rFonts w:ascii="Calibri" w:hAnsi="Calibri" w:cs="Segoe UI"/>
          <w:color w:val="000000"/>
          <w:sz w:val="22"/>
          <w:szCs w:val="22"/>
        </w:rPr>
      </w:pPr>
      <w:r w:rsidRPr="00E31682">
        <w:rPr>
          <w:rFonts w:ascii="Calibri" w:hAnsi="Calibri" w:cs="Segoe UI"/>
          <w:color w:val="000000"/>
          <w:sz w:val="22"/>
          <w:szCs w:val="22"/>
        </w:rPr>
        <w:t xml:space="preserve">Waiver request details </w:t>
      </w:r>
      <w:r w:rsidR="00A8204A" w:rsidRPr="00E31682">
        <w:rPr>
          <w:rFonts w:ascii="Calibri" w:hAnsi="Calibri" w:cs="Segoe UI"/>
          <w:color w:val="000000"/>
          <w:sz w:val="22"/>
          <w:szCs w:val="22"/>
        </w:rPr>
        <w:t>(</w:t>
      </w:r>
      <w:r w:rsidRPr="00E31682">
        <w:rPr>
          <w:rFonts w:ascii="Calibri" w:hAnsi="Calibri" w:cs="Segoe UI"/>
          <w:color w:val="000000"/>
          <w:sz w:val="22"/>
          <w:szCs w:val="22"/>
        </w:rPr>
        <w:t>source/pipes, etc.</w:t>
      </w:r>
      <w:r w:rsidR="00A8204A" w:rsidRPr="00E31682">
        <w:rPr>
          <w:rFonts w:ascii="Calibri" w:hAnsi="Calibri" w:cs="Segoe UI"/>
          <w:color w:val="000000"/>
          <w:sz w:val="22"/>
          <w:szCs w:val="22"/>
        </w:rPr>
        <w:t>)</w:t>
      </w:r>
      <w:r w:rsidR="00056C8C" w:rsidRPr="00E31682">
        <w:rPr>
          <w:rFonts w:ascii="Calibri" w:hAnsi="Calibri" w:cs="Segoe UI"/>
          <w:color w:val="000000"/>
          <w:sz w:val="22"/>
          <w:szCs w:val="22"/>
        </w:rPr>
        <w:t xml:space="preserve"> including why plan is still protective of public health</w:t>
      </w:r>
    </w:p>
    <w:p w14:paraId="1916834A" w14:textId="77777777" w:rsidR="00685AD5" w:rsidRPr="00E31682" w:rsidRDefault="00685AD5" w:rsidP="00685AD5">
      <w:pPr>
        <w:spacing w:after="0"/>
        <w:contextualSpacing/>
        <w:rPr>
          <w:rFonts w:ascii="Calibri" w:hAnsi="Calibri" w:cs="Segoe UI"/>
          <w:color w:val="000000"/>
        </w:rPr>
      </w:pPr>
    </w:p>
    <w:p w14:paraId="7CA8DE16" w14:textId="2E51FA48" w:rsidR="00F31252" w:rsidRPr="00E31682" w:rsidRDefault="00056C8C" w:rsidP="00685AD5">
      <w:pPr>
        <w:spacing w:after="0"/>
        <w:contextualSpacing/>
        <w:rPr>
          <w:rFonts w:ascii="Calibri" w:hAnsi="Calibri" w:cs="Segoe UI"/>
          <w:color w:val="000000"/>
        </w:rPr>
      </w:pPr>
      <w:r w:rsidRPr="00E31682">
        <w:rPr>
          <w:rFonts w:ascii="Calibri" w:hAnsi="Calibri" w:cs="Segoe UI"/>
          <w:color w:val="000000"/>
        </w:rPr>
        <w:t>E</w:t>
      </w:r>
      <w:r w:rsidR="00F31252" w:rsidRPr="00E31682">
        <w:rPr>
          <w:rFonts w:ascii="Calibri" w:hAnsi="Calibri" w:cs="Segoe UI"/>
          <w:color w:val="000000"/>
        </w:rPr>
        <w:t>ngineers designing the system</w:t>
      </w:r>
      <w:r w:rsidRPr="00E31682">
        <w:rPr>
          <w:rFonts w:ascii="Calibri" w:hAnsi="Calibri" w:cs="Segoe UI"/>
          <w:color w:val="000000"/>
        </w:rPr>
        <w:t xml:space="preserve"> will supply most of these details</w:t>
      </w:r>
      <w:r w:rsidR="00F31252" w:rsidRPr="00E31682">
        <w:rPr>
          <w:rFonts w:ascii="Calibri" w:hAnsi="Calibri" w:cs="Segoe UI"/>
          <w:color w:val="000000"/>
        </w:rPr>
        <w:t xml:space="preserve">, but </w:t>
      </w:r>
      <w:r w:rsidR="00A8204A" w:rsidRPr="00E31682">
        <w:rPr>
          <w:rFonts w:ascii="Calibri" w:hAnsi="Calibri" w:cs="Segoe UI"/>
          <w:color w:val="000000"/>
        </w:rPr>
        <w:t>depending on</w:t>
      </w:r>
      <w:r w:rsidRPr="00E31682">
        <w:rPr>
          <w:rFonts w:ascii="Calibri" w:hAnsi="Calibri" w:cs="Segoe UI"/>
          <w:color w:val="000000"/>
        </w:rPr>
        <w:t xml:space="preserve"> the water source, the</w:t>
      </w:r>
      <w:r w:rsidR="00A8204A" w:rsidRPr="00E31682">
        <w:rPr>
          <w:rFonts w:ascii="Calibri" w:hAnsi="Calibri" w:cs="Segoe UI"/>
          <w:color w:val="000000"/>
        </w:rPr>
        <w:t xml:space="preserve"> designs may depend on hydrologists, chemists, biotech experts, etc.</w:t>
      </w:r>
    </w:p>
    <w:p w14:paraId="11EDBB62" w14:textId="77777777" w:rsidR="00E5506D" w:rsidRPr="00E31682" w:rsidRDefault="00E5506D" w:rsidP="00685AD5">
      <w:pPr>
        <w:spacing w:after="0"/>
        <w:contextualSpacing/>
        <w:rPr>
          <w:rFonts w:ascii="Calibri" w:hAnsi="Calibri" w:cs="Segoe UI"/>
          <w:color w:val="000000"/>
        </w:rPr>
      </w:pPr>
    </w:p>
    <w:p w14:paraId="694ABD2D" w14:textId="77777777" w:rsidR="00E31682" w:rsidRDefault="00E31682">
      <w:pPr>
        <w:rPr>
          <w:rFonts w:ascii="Calibri" w:hAnsi="Calibri" w:cs="Segoe UI"/>
          <w:b/>
          <w:color w:val="000000"/>
          <w:u w:val="single"/>
        </w:rPr>
      </w:pPr>
      <w:r>
        <w:rPr>
          <w:rFonts w:ascii="Calibri" w:hAnsi="Calibri" w:cs="Segoe UI"/>
          <w:b/>
          <w:color w:val="000000"/>
          <w:u w:val="single"/>
        </w:rPr>
        <w:br w:type="page"/>
      </w:r>
    </w:p>
    <w:p w14:paraId="675819F1" w14:textId="10DF8053" w:rsidR="000158D7" w:rsidRPr="00E31682" w:rsidRDefault="00FC4023" w:rsidP="00685AD5">
      <w:pPr>
        <w:spacing w:after="0"/>
        <w:contextualSpacing/>
        <w:rPr>
          <w:rFonts w:ascii="Calibri" w:hAnsi="Calibri" w:cs="Segoe UI"/>
          <w:b/>
          <w:color w:val="000000"/>
          <w:u w:val="single"/>
        </w:rPr>
      </w:pPr>
      <w:r w:rsidRPr="00E31682">
        <w:rPr>
          <w:rFonts w:ascii="Calibri" w:hAnsi="Calibri" w:cs="Segoe UI"/>
          <w:b/>
          <w:color w:val="000000"/>
          <w:u w:val="single"/>
        </w:rPr>
        <w:lastRenderedPageBreak/>
        <w:t xml:space="preserve">Special definitions </w:t>
      </w:r>
    </w:p>
    <w:p w14:paraId="34A83EE7" w14:textId="465C31BF" w:rsidR="00F146F4" w:rsidRPr="00E31682" w:rsidRDefault="00F146F4" w:rsidP="00685AD5">
      <w:pPr>
        <w:spacing w:after="0"/>
        <w:contextualSpacing/>
        <w:rPr>
          <w:rFonts w:ascii="Calibri" w:hAnsi="Calibri" w:cs="Segoe UI"/>
          <w:color w:val="000000"/>
        </w:rPr>
      </w:pPr>
      <w:r w:rsidRPr="00E31682">
        <w:rPr>
          <w:rFonts w:ascii="Calibri" w:hAnsi="Calibri" w:cs="Segoe UI"/>
          <w:color w:val="000000"/>
          <w:u w:val="single"/>
        </w:rPr>
        <w:t>PWS Classifications</w:t>
      </w:r>
      <w:r w:rsidR="00E0611E" w:rsidRPr="00E31682">
        <w:rPr>
          <w:rFonts w:ascii="Calibri" w:hAnsi="Calibri" w:cs="Segoe UI"/>
          <w:color w:val="000000"/>
        </w:rPr>
        <w:t xml:space="preserve"> (what kind of PWS you’re constructing)</w:t>
      </w:r>
    </w:p>
    <w:p w14:paraId="20CC145A" w14:textId="77777777" w:rsidR="00A412FD" w:rsidRPr="00E31682" w:rsidRDefault="00A412FD" w:rsidP="00E0611E">
      <w:pPr>
        <w:numPr>
          <w:ilvl w:val="0"/>
          <w:numId w:val="22"/>
        </w:numPr>
        <w:spacing w:after="0"/>
        <w:contextualSpacing/>
        <w:rPr>
          <w:rFonts w:ascii="Calibri" w:hAnsi="Calibri" w:cs="Segoe UI"/>
          <w:color w:val="000000"/>
        </w:rPr>
      </w:pPr>
      <w:r w:rsidRPr="00E31682">
        <w:rPr>
          <w:rFonts w:ascii="Calibri" w:hAnsi="Calibri" w:cs="Segoe UI"/>
          <w:bCs/>
          <w:color w:val="000000"/>
        </w:rPr>
        <w:t xml:space="preserve">Community Water System </w:t>
      </w:r>
      <w:r w:rsidRPr="00E31682">
        <w:rPr>
          <w:rFonts w:ascii="Calibri" w:hAnsi="Calibri" w:cs="Segoe UI"/>
          <w:color w:val="000000"/>
        </w:rPr>
        <w:t xml:space="preserve">(CWS) </w:t>
      </w:r>
    </w:p>
    <w:p w14:paraId="50358C86" w14:textId="77777777" w:rsidR="00A412FD" w:rsidRPr="00E31682" w:rsidRDefault="00A412FD" w:rsidP="00E0611E">
      <w:pPr>
        <w:numPr>
          <w:ilvl w:val="1"/>
          <w:numId w:val="22"/>
        </w:numPr>
        <w:spacing w:after="0"/>
        <w:contextualSpacing/>
        <w:rPr>
          <w:rFonts w:ascii="Calibri" w:hAnsi="Calibri" w:cs="Segoe UI"/>
          <w:color w:val="000000"/>
        </w:rPr>
      </w:pPr>
      <w:proofErr w:type="gramStart"/>
      <w:r w:rsidRPr="00E31682">
        <w:rPr>
          <w:rFonts w:ascii="Calibri" w:hAnsi="Calibri" w:cs="Segoe UI"/>
          <w:color w:val="000000"/>
        </w:rPr>
        <w:t>expects</w:t>
      </w:r>
      <w:proofErr w:type="gramEnd"/>
      <w:r w:rsidRPr="00E31682">
        <w:rPr>
          <w:rFonts w:ascii="Calibri" w:hAnsi="Calibri" w:cs="Segoe UI"/>
          <w:color w:val="000000"/>
        </w:rPr>
        <w:t xml:space="preserve"> to serve, year round, at least 25 individuals; </w:t>
      </w:r>
    </w:p>
    <w:p w14:paraId="315CC3A0" w14:textId="77777777" w:rsidR="00A412FD" w:rsidRPr="00E31682" w:rsidRDefault="00A412FD" w:rsidP="00E0611E">
      <w:pPr>
        <w:numPr>
          <w:ilvl w:val="1"/>
          <w:numId w:val="22"/>
        </w:numPr>
        <w:spacing w:after="0"/>
        <w:contextualSpacing/>
        <w:rPr>
          <w:rFonts w:ascii="Calibri" w:hAnsi="Calibri" w:cs="Segoe UI"/>
          <w:color w:val="000000"/>
        </w:rPr>
      </w:pPr>
      <w:proofErr w:type="gramStart"/>
      <w:r w:rsidRPr="00E31682">
        <w:rPr>
          <w:rFonts w:ascii="Calibri" w:hAnsi="Calibri" w:cs="Segoe UI"/>
          <w:color w:val="000000"/>
        </w:rPr>
        <w:t>or</w:t>
      </w:r>
      <w:proofErr w:type="gramEnd"/>
      <w:r w:rsidRPr="00E31682">
        <w:rPr>
          <w:rFonts w:ascii="Calibri" w:hAnsi="Calibri" w:cs="Segoe UI"/>
          <w:color w:val="000000"/>
        </w:rPr>
        <w:t xml:space="preserve"> expects to serve, year round, at least 15 residential service connections</w:t>
      </w:r>
    </w:p>
    <w:p w14:paraId="4EC9ADE3" w14:textId="77777777" w:rsidR="00A412FD" w:rsidRPr="00E31682" w:rsidRDefault="00A412FD" w:rsidP="00E0611E">
      <w:pPr>
        <w:numPr>
          <w:ilvl w:val="0"/>
          <w:numId w:val="22"/>
        </w:numPr>
        <w:spacing w:after="0"/>
        <w:contextualSpacing/>
        <w:rPr>
          <w:rFonts w:ascii="Calibri" w:hAnsi="Calibri" w:cs="Segoe UI"/>
          <w:color w:val="000000"/>
        </w:rPr>
      </w:pPr>
      <w:r w:rsidRPr="00E31682">
        <w:rPr>
          <w:rFonts w:ascii="Calibri" w:hAnsi="Calibri" w:cs="Segoe UI"/>
          <w:bCs/>
          <w:color w:val="000000"/>
        </w:rPr>
        <w:t xml:space="preserve">Non-Transient Non Community Water System </w:t>
      </w:r>
      <w:r w:rsidRPr="00E31682">
        <w:rPr>
          <w:rFonts w:ascii="Calibri" w:hAnsi="Calibri" w:cs="Segoe UI"/>
          <w:color w:val="000000"/>
        </w:rPr>
        <w:t xml:space="preserve">(NTNCWS) </w:t>
      </w:r>
    </w:p>
    <w:p w14:paraId="2A20B25C" w14:textId="77777777" w:rsidR="00A412FD" w:rsidRPr="00E31682" w:rsidRDefault="00A412FD" w:rsidP="00E0611E">
      <w:pPr>
        <w:numPr>
          <w:ilvl w:val="1"/>
          <w:numId w:val="22"/>
        </w:numPr>
        <w:spacing w:after="0"/>
        <w:contextualSpacing/>
        <w:rPr>
          <w:rFonts w:ascii="Calibri" w:hAnsi="Calibri" w:cs="Segoe UI"/>
          <w:color w:val="000000"/>
        </w:rPr>
      </w:pPr>
      <w:proofErr w:type="gramStart"/>
      <w:r w:rsidRPr="00E31682">
        <w:rPr>
          <w:rFonts w:ascii="Calibri" w:hAnsi="Calibri" w:cs="Segoe UI"/>
          <w:color w:val="000000"/>
        </w:rPr>
        <w:t>regularly</w:t>
      </w:r>
      <w:proofErr w:type="gramEnd"/>
      <w:r w:rsidRPr="00E31682">
        <w:rPr>
          <w:rFonts w:ascii="Calibri" w:hAnsi="Calibri" w:cs="Segoe UI"/>
          <w:color w:val="000000"/>
        </w:rPr>
        <w:t xml:space="preserve"> serves the same 25 or more individuals for at least 6 months of the year </w:t>
      </w:r>
    </w:p>
    <w:p w14:paraId="4367458B" w14:textId="77777777" w:rsidR="00A412FD" w:rsidRPr="00E31682" w:rsidRDefault="00A412FD" w:rsidP="00E0611E">
      <w:pPr>
        <w:numPr>
          <w:ilvl w:val="0"/>
          <w:numId w:val="22"/>
        </w:numPr>
        <w:spacing w:after="0"/>
        <w:contextualSpacing/>
        <w:rPr>
          <w:rFonts w:ascii="Calibri" w:hAnsi="Calibri" w:cs="Segoe UI"/>
          <w:color w:val="000000"/>
        </w:rPr>
      </w:pPr>
      <w:r w:rsidRPr="00E31682">
        <w:rPr>
          <w:rFonts w:ascii="Calibri" w:hAnsi="Calibri" w:cs="Segoe UI"/>
          <w:bCs/>
          <w:color w:val="000000"/>
        </w:rPr>
        <w:t xml:space="preserve">Transient Non Community Water System </w:t>
      </w:r>
      <w:r w:rsidRPr="00E31682">
        <w:rPr>
          <w:rFonts w:ascii="Calibri" w:hAnsi="Calibri" w:cs="Segoe UI"/>
          <w:color w:val="000000"/>
        </w:rPr>
        <w:t xml:space="preserve">(TNCWS) </w:t>
      </w:r>
    </w:p>
    <w:p w14:paraId="6BE3C254" w14:textId="77777777" w:rsidR="00A412FD" w:rsidRPr="00E31682" w:rsidRDefault="00A412FD" w:rsidP="00E0611E">
      <w:pPr>
        <w:numPr>
          <w:ilvl w:val="1"/>
          <w:numId w:val="22"/>
        </w:numPr>
        <w:spacing w:after="0"/>
        <w:contextualSpacing/>
        <w:rPr>
          <w:rFonts w:ascii="Calibri" w:hAnsi="Calibri" w:cs="Segoe UI"/>
          <w:color w:val="000000"/>
        </w:rPr>
      </w:pPr>
      <w:proofErr w:type="gramStart"/>
      <w:r w:rsidRPr="00E31682">
        <w:rPr>
          <w:rFonts w:ascii="Calibri" w:hAnsi="Calibri" w:cs="Segoe UI"/>
          <w:color w:val="000000"/>
        </w:rPr>
        <w:t>is</w:t>
      </w:r>
      <w:proofErr w:type="gramEnd"/>
      <w:r w:rsidRPr="00E31682">
        <w:rPr>
          <w:rFonts w:ascii="Calibri" w:hAnsi="Calibri" w:cs="Segoe UI"/>
          <w:color w:val="000000"/>
        </w:rPr>
        <w:t xml:space="preserve"> not a CWS or NTNCWS </w:t>
      </w:r>
    </w:p>
    <w:p w14:paraId="4B15E824" w14:textId="55EDC467" w:rsidR="008A3ABB" w:rsidRPr="00E31682" w:rsidRDefault="00A412FD" w:rsidP="00685AD5">
      <w:pPr>
        <w:numPr>
          <w:ilvl w:val="1"/>
          <w:numId w:val="22"/>
        </w:numPr>
        <w:spacing w:after="0"/>
        <w:contextualSpacing/>
        <w:rPr>
          <w:rFonts w:ascii="Calibri" w:hAnsi="Calibri" w:cs="Segoe UI"/>
          <w:color w:val="000000"/>
        </w:rPr>
      </w:pPr>
      <w:proofErr w:type="gramStart"/>
      <w:r w:rsidRPr="00E31682">
        <w:rPr>
          <w:rFonts w:ascii="Calibri" w:hAnsi="Calibri" w:cs="Segoe UI"/>
          <w:color w:val="000000"/>
        </w:rPr>
        <w:t>regularly</w:t>
      </w:r>
      <w:proofErr w:type="gramEnd"/>
      <w:r w:rsidRPr="00E31682">
        <w:rPr>
          <w:rFonts w:ascii="Calibri" w:hAnsi="Calibri" w:cs="Segoe UI"/>
          <w:color w:val="000000"/>
        </w:rPr>
        <w:t xml:space="preserve"> serves at least 25 individuals each day for at least 60 days of the year </w:t>
      </w:r>
    </w:p>
    <w:p w14:paraId="227781F9" w14:textId="009A7B5B" w:rsidR="008A3ABB" w:rsidRPr="00E31682" w:rsidRDefault="008A3ABB" w:rsidP="00685AD5">
      <w:pPr>
        <w:spacing w:after="0"/>
        <w:contextualSpacing/>
        <w:rPr>
          <w:rFonts w:ascii="Calibri" w:hAnsi="Calibri" w:cs="Segoe UI"/>
          <w:color w:val="000000"/>
        </w:rPr>
      </w:pPr>
      <w:r w:rsidRPr="00E31682">
        <w:rPr>
          <w:rFonts w:ascii="Calibri" w:hAnsi="Calibri" w:cs="Segoe UI"/>
          <w:color w:val="000000"/>
          <w:u w:val="single"/>
        </w:rPr>
        <w:t>Within the SDWA</w:t>
      </w:r>
      <w:r w:rsidRPr="00E31682">
        <w:rPr>
          <w:rFonts w:ascii="Calibri" w:hAnsi="Calibri" w:cs="Segoe UI"/>
          <w:color w:val="000000"/>
        </w:rPr>
        <w:t xml:space="preserve">: </w:t>
      </w:r>
    </w:p>
    <w:p w14:paraId="41EEC8CF" w14:textId="462615F0" w:rsidR="008A3ABB" w:rsidRPr="00E31682" w:rsidRDefault="008A3ABB" w:rsidP="00685AD5">
      <w:pPr>
        <w:spacing w:after="0"/>
        <w:contextualSpacing/>
        <w:rPr>
          <w:rFonts w:ascii="Calibri" w:hAnsi="Calibri" w:cs="Segoe UI"/>
          <w:color w:val="000000"/>
        </w:rPr>
      </w:pPr>
      <w:r w:rsidRPr="00E31682">
        <w:rPr>
          <w:rFonts w:ascii="Calibri" w:hAnsi="Calibri" w:cs="Segoe UI"/>
          <w:color w:val="000000"/>
        </w:rPr>
        <w:t>Maximum Contaminant Level (MCL; enforceable)</w:t>
      </w:r>
    </w:p>
    <w:p w14:paraId="18C62284" w14:textId="3E247207" w:rsidR="008A3ABB" w:rsidRPr="00E31682" w:rsidRDefault="008A3ABB" w:rsidP="008A3ABB">
      <w:pPr>
        <w:spacing w:after="0"/>
        <w:contextualSpacing/>
        <w:rPr>
          <w:rFonts w:ascii="Calibri" w:hAnsi="Calibri" w:cs="Segoe UI"/>
          <w:color w:val="000000"/>
        </w:rPr>
      </w:pPr>
      <w:r w:rsidRPr="00E31682">
        <w:rPr>
          <w:rFonts w:ascii="Calibri" w:hAnsi="Calibri" w:cs="Segoe UI"/>
          <w:color w:val="000000"/>
        </w:rPr>
        <w:t>Maximum Contaminant Level Goal (MCLG; non-enforceable, an ideal with no human health impacts)</w:t>
      </w:r>
    </w:p>
    <w:p w14:paraId="72563769" w14:textId="24C77B26" w:rsidR="008A3ABB" w:rsidRPr="00E31682" w:rsidRDefault="008A3ABB" w:rsidP="008A3ABB">
      <w:pPr>
        <w:spacing w:after="0"/>
        <w:contextualSpacing/>
        <w:rPr>
          <w:rFonts w:ascii="Calibri" w:hAnsi="Calibri" w:cs="Segoe UI"/>
          <w:color w:val="000000"/>
        </w:rPr>
      </w:pPr>
      <w:r w:rsidRPr="00E31682">
        <w:rPr>
          <w:rFonts w:ascii="Calibri" w:hAnsi="Calibri" w:cs="Segoe UI"/>
          <w:color w:val="000000"/>
        </w:rPr>
        <w:t>Maximum Residual Disinfectant Level (MRDL; enforceable)</w:t>
      </w:r>
    </w:p>
    <w:p w14:paraId="7098A97C" w14:textId="1C1267B4" w:rsidR="008A3ABB" w:rsidRPr="00E31682" w:rsidRDefault="008A3ABB" w:rsidP="008A3ABB">
      <w:pPr>
        <w:spacing w:after="0"/>
        <w:contextualSpacing/>
        <w:rPr>
          <w:rFonts w:ascii="Calibri" w:hAnsi="Calibri" w:cs="Segoe UI"/>
          <w:color w:val="000000"/>
        </w:rPr>
      </w:pPr>
      <w:r w:rsidRPr="00E31682">
        <w:rPr>
          <w:rFonts w:ascii="Calibri" w:hAnsi="Calibri" w:cs="Segoe UI"/>
          <w:color w:val="000000"/>
        </w:rPr>
        <w:t>Maximum Residual Disinfectant Level Goal (MRDLG; non-enforceable, an ideal with no human health impacts)</w:t>
      </w:r>
    </w:p>
    <w:p w14:paraId="17374838" w14:textId="5E7D090E" w:rsidR="008A3ABB" w:rsidRPr="00E31682" w:rsidRDefault="008A3ABB" w:rsidP="008A3ABB">
      <w:pPr>
        <w:spacing w:after="0"/>
        <w:contextualSpacing/>
        <w:rPr>
          <w:rFonts w:ascii="Calibri" w:hAnsi="Calibri" w:cs="Segoe UI"/>
          <w:color w:val="000000"/>
        </w:rPr>
      </w:pPr>
      <w:r w:rsidRPr="00E31682">
        <w:rPr>
          <w:rFonts w:ascii="Calibri" w:hAnsi="Calibri" w:cs="Segoe UI"/>
          <w:color w:val="000000"/>
        </w:rPr>
        <w:t>Consumer Confidence Report (CCR) or water quality report made publicly available by a PWS</w:t>
      </w:r>
    </w:p>
    <w:p w14:paraId="358204A7" w14:textId="77777777" w:rsidR="00F146F4" w:rsidRPr="00E31682" w:rsidRDefault="00F146F4" w:rsidP="00685AD5">
      <w:pPr>
        <w:spacing w:after="0"/>
        <w:contextualSpacing/>
        <w:rPr>
          <w:rFonts w:ascii="Calibri" w:hAnsi="Calibri" w:cs="Segoe UI"/>
          <w:b/>
          <w:color w:val="000000"/>
          <w:u w:val="single"/>
        </w:rPr>
      </w:pPr>
    </w:p>
    <w:p w14:paraId="39E81861" w14:textId="3B898D04" w:rsidR="0073445B" w:rsidRPr="00E31682" w:rsidRDefault="005741C5" w:rsidP="00685AD5">
      <w:pPr>
        <w:spacing w:after="0"/>
        <w:contextualSpacing/>
        <w:rPr>
          <w:rFonts w:ascii="Calibri" w:hAnsi="Calibri" w:cs="Segoe UI"/>
          <w:b/>
          <w:color w:val="000000"/>
          <w:u w:val="single"/>
        </w:rPr>
      </w:pPr>
      <w:r w:rsidRPr="00E31682">
        <w:rPr>
          <w:rFonts w:ascii="Calibri" w:hAnsi="Calibri" w:cs="Segoe UI"/>
          <w:b/>
          <w:color w:val="000000"/>
          <w:u w:val="single"/>
        </w:rPr>
        <w:t>Enforcement and Penalties</w:t>
      </w:r>
    </w:p>
    <w:p w14:paraId="17FC1550" w14:textId="77777777" w:rsidR="00076A3C" w:rsidRPr="00E31682" w:rsidRDefault="00076A3C" w:rsidP="00685AD5">
      <w:pPr>
        <w:spacing w:after="0" w:line="240" w:lineRule="auto"/>
        <w:contextualSpacing/>
        <w:jc w:val="both"/>
        <w:rPr>
          <w:rFonts w:ascii="Calibri" w:hAnsi="Calibri"/>
          <w:b/>
          <w:u w:val="single"/>
        </w:rPr>
      </w:pPr>
      <w:bookmarkStart w:id="1" w:name="h.y33bxdpuvswp" w:colFirst="0" w:colLast="0"/>
      <w:bookmarkStart w:id="2" w:name="h.rabv6ryip3q0" w:colFirst="0" w:colLast="0"/>
      <w:bookmarkEnd w:id="1"/>
      <w:bookmarkEnd w:id="2"/>
      <w:r w:rsidRPr="00E31682">
        <w:rPr>
          <w:rFonts w:ascii="Calibri" w:hAnsi="Calibri"/>
          <w:b/>
          <w:u w:val="single"/>
        </w:rPr>
        <w:t>REGULATIONS (CFR)</w:t>
      </w:r>
    </w:p>
    <w:p w14:paraId="3CCA49E5" w14:textId="2F3C7F8B" w:rsidR="00FC4023" w:rsidRPr="00E31682" w:rsidRDefault="00FC4023" w:rsidP="00F54091">
      <w:pPr>
        <w:spacing w:after="0" w:line="240" w:lineRule="auto"/>
        <w:contextualSpacing/>
        <w:rPr>
          <w:rFonts w:ascii="Calibri" w:hAnsi="Calibri"/>
        </w:rPr>
      </w:pPr>
      <w:r w:rsidRPr="00E31682">
        <w:rPr>
          <w:rFonts w:ascii="Calibri" w:hAnsi="Calibri"/>
        </w:rPr>
        <w:t>State</w:t>
      </w:r>
      <w:r w:rsidR="005741C5" w:rsidRPr="00E31682">
        <w:rPr>
          <w:rFonts w:ascii="Calibri" w:hAnsi="Calibri"/>
        </w:rPr>
        <w:t xml:space="preserve"> 18 AAC 80</w:t>
      </w:r>
    </w:p>
    <w:p w14:paraId="65C963B9" w14:textId="6E833F74" w:rsidR="00F54091" w:rsidRPr="00E31682" w:rsidRDefault="00FC4023" w:rsidP="00F54091">
      <w:pPr>
        <w:spacing w:after="0" w:line="240" w:lineRule="auto"/>
        <w:contextualSpacing/>
        <w:rPr>
          <w:rFonts w:ascii="Calibri" w:hAnsi="Calibri"/>
        </w:rPr>
      </w:pPr>
      <w:r w:rsidRPr="00E31682">
        <w:rPr>
          <w:rFonts w:ascii="Calibri" w:hAnsi="Calibri"/>
        </w:rPr>
        <w:t>Federal</w:t>
      </w:r>
      <w:r w:rsidR="005741C5" w:rsidRPr="00E31682">
        <w:rPr>
          <w:rFonts w:ascii="Calibri" w:hAnsi="Calibri"/>
        </w:rPr>
        <w:t xml:space="preserve"> 40 CFR 141 (primary </w:t>
      </w:r>
      <w:proofErr w:type="spellStart"/>
      <w:r w:rsidR="005741C5" w:rsidRPr="00E31682">
        <w:rPr>
          <w:rFonts w:ascii="Calibri" w:hAnsi="Calibri"/>
        </w:rPr>
        <w:t>stds</w:t>
      </w:r>
      <w:proofErr w:type="spellEnd"/>
      <w:r w:rsidR="005741C5" w:rsidRPr="00E31682">
        <w:rPr>
          <w:rFonts w:ascii="Calibri" w:hAnsi="Calibri"/>
        </w:rPr>
        <w:t>), 142 (imple</w:t>
      </w:r>
      <w:r w:rsidR="00F54091" w:rsidRPr="00E31682">
        <w:rPr>
          <w:rFonts w:ascii="Calibri" w:hAnsi="Calibri"/>
        </w:rPr>
        <w:t xml:space="preserve">mentation), 143 (secondary </w:t>
      </w:r>
      <w:proofErr w:type="spellStart"/>
      <w:r w:rsidR="00F54091" w:rsidRPr="00E31682">
        <w:rPr>
          <w:rFonts w:ascii="Calibri" w:hAnsi="Calibri"/>
        </w:rPr>
        <w:t>stds</w:t>
      </w:r>
      <w:proofErr w:type="spellEnd"/>
      <w:r w:rsidR="00F54091" w:rsidRPr="00E31682">
        <w:rPr>
          <w:rFonts w:ascii="Calibri" w:hAnsi="Calibri"/>
        </w:rPr>
        <w:t>)</w:t>
      </w:r>
      <w:bookmarkStart w:id="3" w:name="h.mhzpe8wssxmh" w:colFirst="0" w:colLast="0"/>
      <w:bookmarkStart w:id="4" w:name="h.nnhnj2v6nfho" w:colFirst="0" w:colLast="0"/>
      <w:bookmarkStart w:id="5" w:name="h.yhwvryw2ht3s" w:colFirst="0" w:colLast="0"/>
      <w:bookmarkEnd w:id="3"/>
      <w:bookmarkEnd w:id="4"/>
      <w:bookmarkEnd w:id="5"/>
      <w:r w:rsidR="000912BC" w:rsidRPr="00E31682">
        <w:rPr>
          <w:rFonts w:ascii="Calibri" w:hAnsi="Calibri"/>
        </w:rPr>
        <w:t xml:space="preserve"> </w:t>
      </w:r>
    </w:p>
    <w:p w14:paraId="2B1C0F49" w14:textId="36CDCCEC" w:rsidR="000912BC" w:rsidRPr="00E31682" w:rsidRDefault="000912BC" w:rsidP="00F54091">
      <w:pPr>
        <w:spacing w:after="0" w:line="240" w:lineRule="auto"/>
        <w:contextualSpacing/>
        <w:rPr>
          <w:rFonts w:ascii="Calibri" w:hAnsi="Calibri"/>
        </w:rPr>
      </w:pPr>
      <w:r w:rsidRPr="00E31682">
        <w:rPr>
          <w:rFonts w:ascii="Calibri" w:hAnsi="Calibri"/>
        </w:rPr>
        <w:t>State rules may be more stringent, and are specific to Alaska, but refer often to the federal rules.</w:t>
      </w:r>
    </w:p>
    <w:p w14:paraId="13CB67FB" w14:textId="75D6D1D4" w:rsidR="00A412FD" w:rsidRPr="00E31682" w:rsidRDefault="00E31682" w:rsidP="00F54091">
      <w:pPr>
        <w:spacing w:after="0" w:line="240" w:lineRule="auto"/>
        <w:contextualSpacing/>
        <w:rPr>
          <w:rFonts w:ascii="Calibri" w:hAnsi="Calibri"/>
        </w:rPr>
      </w:pPr>
      <w:hyperlink r:id="rId7" w:history="1">
        <w:r w:rsidR="00A412FD" w:rsidRPr="00E31682">
          <w:rPr>
            <w:rStyle w:val="Hyperlink"/>
            <w:rFonts w:ascii="Calibri" w:hAnsi="Calibri"/>
          </w:rPr>
          <w:t>https://dec.alaska.gov/eh/dw/regulations/</w:t>
        </w:r>
      </w:hyperlink>
      <w:proofErr w:type="gramStart"/>
      <w:r w:rsidR="00A412FD" w:rsidRPr="00E31682">
        <w:rPr>
          <w:rFonts w:ascii="Calibri" w:hAnsi="Calibri"/>
        </w:rPr>
        <w:t xml:space="preserve">  includes</w:t>
      </w:r>
      <w:proofErr w:type="gramEnd"/>
      <w:r w:rsidR="00A412FD" w:rsidRPr="00E31682">
        <w:rPr>
          <w:rFonts w:ascii="Calibri" w:hAnsi="Calibri"/>
        </w:rPr>
        <w:t xml:space="preserve"> </w:t>
      </w:r>
      <w:r w:rsidR="00F54091" w:rsidRPr="00E31682">
        <w:rPr>
          <w:rFonts w:ascii="Calibri" w:hAnsi="Calibri"/>
        </w:rPr>
        <w:t xml:space="preserve">a list with </w:t>
      </w:r>
      <w:r w:rsidR="00A412FD" w:rsidRPr="00E31682">
        <w:rPr>
          <w:rFonts w:ascii="Calibri" w:hAnsi="Calibri"/>
        </w:rPr>
        <w:t xml:space="preserve">links to </w:t>
      </w:r>
      <w:r w:rsidR="00F54091" w:rsidRPr="00E31682">
        <w:rPr>
          <w:rFonts w:ascii="Calibri" w:hAnsi="Calibri"/>
        </w:rPr>
        <w:t>ALL of these</w:t>
      </w:r>
    </w:p>
    <w:p w14:paraId="05E0737B" w14:textId="77777777" w:rsidR="00A412FD" w:rsidRPr="00E31682" w:rsidRDefault="00A412FD" w:rsidP="00F54091">
      <w:pPr>
        <w:spacing w:after="0" w:line="240" w:lineRule="auto"/>
        <w:contextualSpacing/>
        <w:rPr>
          <w:rFonts w:ascii="Calibri" w:hAnsi="Calibri"/>
        </w:rPr>
      </w:pPr>
    </w:p>
    <w:p w14:paraId="63BFD829"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b/>
          <w:bCs/>
          <w:sz w:val="20"/>
          <w:szCs w:val="24"/>
        </w:rPr>
      </w:pPr>
      <w:proofErr w:type="gramStart"/>
      <w:r w:rsidRPr="00E07474">
        <w:rPr>
          <w:rFonts w:ascii="TimesNewRomanPS-BoldMT" w:hAnsi="TimesNewRomanPS-BoldMT" w:cs="TimesNewRomanPS-BoldMT"/>
          <w:b/>
          <w:bCs/>
          <w:sz w:val="20"/>
          <w:szCs w:val="24"/>
        </w:rPr>
        <w:t>18 AAC 80.210.</w:t>
      </w:r>
      <w:proofErr w:type="gramEnd"/>
      <w:r w:rsidRPr="00E07474">
        <w:rPr>
          <w:rFonts w:ascii="TimesNewRomanPS-BoldMT" w:hAnsi="TimesNewRomanPS-BoldMT" w:cs="TimesNewRomanPS-BoldMT"/>
          <w:b/>
          <w:bCs/>
          <w:sz w:val="20"/>
          <w:szCs w:val="24"/>
        </w:rPr>
        <w:t xml:space="preserve"> Department review of engineered plans; approval to construct;</w:t>
      </w:r>
    </w:p>
    <w:p w14:paraId="51D48019"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b/>
          <w:bCs/>
          <w:sz w:val="20"/>
          <w:szCs w:val="24"/>
        </w:rPr>
        <w:t>approval</w:t>
      </w:r>
      <w:proofErr w:type="gramEnd"/>
      <w:r w:rsidRPr="00E07474">
        <w:rPr>
          <w:rFonts w:ascii="TimesNewRomanPS-BoldMT" w:hAnsi="TimesNewRomanPS-BoldMT" w:cs="TimesNewRomanPS-BoldMT"/>
          <w:b/>
          <w:bCs/>
          <w:sz w:val="20"/>
          <w:szCs w:val="24"/>
        </w:rPr>
        <w:t xml:space="preserve"> to operate</w:t>
      </w:r>
      <w:r w:rsidRPr="00E07474">
        <w:rPr>
          <w:rFonts w:ascii="TimesNewRomanPS-BoldMT" w:hAnsi="TimesNewRomanPS-BoldMT" w:cs="TimesNewRomanPS-BoldMT"/>
          <w:sz w:val="20"/>
          <w:szCs w:val="24"/>
        </w:rPr>
        <w:t>. (a) The department will issue its approval or denial to construct a</w:t>
      </w:r>
    </w:p>
    <w:p w14:paraId="08BD7E58"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community</w:t>
      </w:r>
      <w:proofErr w:type="gramEnd"/>
      <w:r w:rsidRPr="00E07474">
        <w:rPr>
          <w:rFonts w:ascii="TimesNewRomanPS-BoldMT" w:hAnsi="TimesNewRomanPS-BoldMT" w:cs="TimesNewRomanPS-BoldMT"/>
          <w:sz w:val="20"/>
          <w:szCs w:val="24"/>
        </w:rPr>
        <w:t xml:space="preserve"> water system, non-transient non-community water system, or transient </w:t>
      </w:r>
      <w:proofErr w:type="spellStart"/>
      <w:r w:rsidRPr="00E07474">
        <w:rPr>
          <w:rFonts w:ascii="TimesNewRomanPS-BoldMT" w:hAnsi="TimesNewRomanPS-BoldMT" w:cs="TimesNewRomanPS-BoldMT"/>
          <w:sz w:val="20"/>
          <w:szCs w:val="24"/>
        </w:rPr>
        <w:t>noncommunity</w:t>
      </w:r>
      <w:proofErr w:type="spellEnd"/>
      <w:r w:rsidRPr="00E07474">
        <w:rPr>
          <w:rFonts w:ascii="TimesNewRomanPS-BoldMT" w:hAnsi="TimesNewRomanPS-BoldMT" w:cs="TimesNewRomanPS-BoldMT"/>
          <w:sz w:val="20"/>
          <w:szCs w:val="24"/>
        </w:rPr>
        <w:t xml:space="preserve"> water system not later than 30 days after the department receives all of the plans and information required by this chapter. If the submittals are deficient, the department will notify the owner that additional information is needed. Failure of the department to issue an approval or denial to construct within 30 days does not constitute automatic approval of the plans.  </w:t>
      </w:r>
    </w:p>
    <w:p w14:paraId="62D933FC" w14:textId="68A4985C"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r w:rsidRPr="00E07474">
        <w:rPr>
          <w:rFonts w:ascii="TimesNewRomanPS-BoldMT" w:hAnsi="TimesNewRomanPS-BoldMT" w:cs="TimesNewRomanPS-BoldMT"/>
          <w:sz w:val="20"/>
          <w:szCs w:val="24"/>
        </w:rPr>
        <w:t>(b) The department will not issue an approval to construct a new community water</w:t>
      </w:r>
    </w:p>
    <w:p w14:paraId="41AC3E29"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system</w:t>
      </w:r>
      <w:proofErr w:type="gramEnd"/>
      <w:r w:rsidRPr="00E07474">
        <w:rPr>
          <w:rFonts w:ascii="TimesNewRomanPS-BoldMT" w:hAnsi="TimesNewRomanPS-BoldMT" w:cs="TimesNewRomanPS-BoldMT"/>
          <w:sz w:val="20"/>
          <w:szCs w:val="24"/>
        </w:rPr>
        <w:t xml:space="preserve"> or a new non-transient non-community water system if the department determines that</w:t>
      </w:r>
    </w:p>
    <w:p w14:paraId="07D98F27"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the</w:t>
      </w:r>
      <w:proofErr w:type="gramEnd"/>
      <w:r w:rsidRPr="00E07474">
        <w:rPr>
          <w:rFonts w:ascii="TimesNewRomanPS-BoldMT" w:hAnsi="TimesNewRomanPS-BoldMT" w:cs="TimesNewRomanPS-BoldMT"/>
          <w:sz w:val="20"/>
          <w:szCs w:val="24"/>
        </w:rPr>
        <w:t xml:space="preserve"> submitted plans, specifications, and information do not meet the requirements of technical,</w:t>
      </w:r>
    </w:p>
    <w:p w14:paraId="000CD86F" w14:textId="4CA4F4E0" w:rsidR="000912BC" w:rsidRDefault="000912BC" w:rsidP="000912BC">
      <w:pPr>
        <w:spacing w:after="0" w:line="240" w:lineRule="auto"/>
        <w:contextualSpacing/>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managerial</w:t>
      </w:r>
      <w:proofErr w:type="gramEnd"/>
      <w:r w:rsidRPr="00E07474">
        <w:rPr>
          <w:rFonts w:ascii="TimesNewRomanPS-BoldMT" w:hAnsi="TimesNewRomanPS-BoldMT" w:cs="TimesNewRomanPS-BoldMT"/>
          <w:sz w:val="20"/>
          <w:szCs w:val="24"/>
        </w:rPr>
        <w:t>, and financial capacity under 18 AAC 80.207….</w:t>
      </w:r>
    </w:p>
    <w:p w14:paraId="48CE72AF" w14:textId="77777777" w:rsidR="00E07474" w:rsidRPr="00E07474" w:rsidRDefault="00E07474" w:rsidP="000912BC">
      <w:pPr>
        <w:spacing w:after="0" w:line="240" w:lineRule="auto"/>
        <w:contextualSpacing/>
        <w:rPr>
          <w:rFonts w:ascii="TimesNewRomanPS-BoldMT" w:hAnsi="TimesNewRomanPS-BoldMT" w:cs="TimesNewRomanPS-BoldMT"/>
          <w:sz w:val="20"/>
          <w:szCs w:val="24"/>
        </w:rPr>
      </w:pPr>
    </w:p>
    <w:p w14:paraId="15C47EE2"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b/>
          <w:bCs/>
          <w:sz w:val="20"/>
          <w:szCs w:val="24"/>
        </w:rPr>
        <w:t>18 AAC 80.215.</w:t>
      </w:r>
      <w:proofErr w:type="gramEnd"/>
      <w:r w:rsidRPr="00E07474">
        <w:rPr>
          <w:rFonts w:ascii="TimesNewRomanPS-BoldMT" w:hAnsi="TimesNewRomanPS-BoldMT" w:cs="TimesNewRomanPS-BoldMT"/>
          <w:b/>
          <w:bCs/>
          <w:sz w:val="20"/>
          <w:szCs w:val="24"/>
        </w:rPr>
        <w:t xml:space="preserve"> </w:t>
      </w:r>
      <w:proofErr w:type="gramStart"/>
      <w:r w:rsidRPr="00E07474">
        <w:rPr>
          <w:rFonts w:ascii="TimesNewRomanPS-BoldMT" w:hAnsi="TimesNewRomanPS-BoldMT" w:cs="TimesNewRomanPS-BoldMT"/>
          <w:b/>
          <w:bCs/>
          <w:sz w:val="20"/>
          <w:szCs w:val="24"/>
        </w:rPr>
        <w:t>Revocation, expiration, or extension of approval</w:t>
      </w:r>
      <w:r w:rsidRPr="00E07474">
        <w:rPr>
          <w:rFonts w:ascii="TimesNewRomanPS-BoldMT" w:hAnsi="TimesNewRomanPS-BoldMT" w:cs="TimesNewRomanPS-BoldMT"/>
          <w:sz w:val="20"/>
          <w:szCs w:val="24"/>
        </w:rPr>
        <w:t>.</w:t>
      </w:r>
      <w:proofErr w:type="gramEnd"/>
      <w:r w:rsidRPr="00E07474">
        <w:rPr>
          <w:rFonts w:ascii="TimesNewRomanPS-BoldMT" w:hAnsi="TimesNewRomanPS-BoldMT" w:cs="TimesNewRomanPS-BoldMT"/>
          <w:sz w:val="20"/>
          <w:szCs w:val="24"/>
        </w:rPr>
        <w:t xml:space="preserve"> (a) The</w:t>
      </w:r>
    </w:p>
    <w:p w14:paraId="2E44672A"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department</w:t>
      </w:r>
      <w:proofErr w:type="gramEnd"/>
      <w:r w:rsidRPr="00E07474">
        <w:rPr>
          <w:rFonts w:ascii="TimesNewRomanPS-BoldMT" w:hAnsi="TimesNewRomanPS-BoldMT" w:cs="TimesNewRomanPS-BoldMT"/>
          <w:sz w:val="20"/>
          <w:szCs w:val="24"/>
        </w:rPr>
        <w:t xml:space="preserve"> will revoke an approval issued under 18 AAC 80.210 if</w:t>
      </w:r>
    </w:p>
    <w:p w14:paraId="11367F8A"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r w:rsidRPr="00E07474">
        <w:rPr>
          <w:rFonts w:ascii="TimesNewRomanPS-BoldMT" w:hAnsi="TimesNewRomanPS-BoldMT" w:cs="TimesNewRomanPS-BoldMT"/>
          <w:sz w:val="20"/>
          <w:szCs w:val="24"/>
        </w:rPr>
        <w:t xml:space="preserve">(1) </w:t>
      </w:r>
      <w:proofErr w:type="gramStart"/>
      <w:r w:rsidRPr="00E07474">
        <w:rPr>
          <w:rFonts w:ascii="TimesNewRomanPS-BoldMT" w:hAnsi="TimesNewRomanPS-BoldMT" w:cs="TimesNewRomanPS-BoldMT"/>
          <w:sz w:val="20"/>
          <w:szCs w:val="24"/>
        </w:rPr>
        <w:t>the</w:t>
      </w:r>
      <w:proofErr w:type="gramEnd"/>
      <w:r w:rsidRPr="00E07474">
        <w:rPr>
          <w:rFonts w:ascii="TimesNewRomanPS-BoldMT" w:hAnsi="TimesNewRomanPS-BoldMT" w:cs="TimesNewRomanPS-BoldMT"/>
          <w:sz w:val="20"/>
          <w:szCs w:val="24"/>
        </w:rPr>
        <w:t xml:space="preserve"> owner fails to comply with the procedures set out in 18 AAC 80.210; and</w:t>
      </w:r>
    </w:p>
    <w:p w14:paraId="72C79D55"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r w:rsidRPr="00E07474">
        <w:rPr>
          <w:rFonts w:ascii="TimesNewRomanPS-BoldMT" w:hAnsi="TimesNewRomanPS-BoldMT" w:cs="TimesNewRomanPS-BoldMT"/>
          <w:sz w:val="20"/>
          <w:szCs w:val="24"/>
        </w:rPr>
        <w:t xml:space="preserve">(2) </w:t>
      </w:r>
      <w:proofErr w:type="gramStart"/>
      <w:r w:rsidRPr="00E07474">
        <w:rPr>
          <w:rFonts w:ascii="TimesNewRomanPS-BoldMT" w:hAnsi="TimesNewRomanPS-BoldMT" w:cs="TimesNewRomanPS-BoldMT"/>
          <w:sz w:val="20"/>
          <w:szCs w:val="24"/>
        </w:rPr>
        <w:t>the</w:t>
      </w:r>
      <w:proofErr w:type="gramEnd"/>
      <w:r w:rsidRPr="00E07474">
        <w:rPr>
          <w:rFonts w:ascii="TimesNewRomanPS-BoldMT" w:hAnsi="TimesNewRomanPS-BoldMT" w:cs="TimesNewRomanPS-BoldMT"/>
          <w:sz w:val="20"/>
          <w:szCs w:val="24"/>
        </w:rPr>
        <w:t xml:space="preserve"> department determines that revocation is necessary to protect the public</w:t>
      </w:r>
    </w:p>
    <w:p w14:paraId="6EEBBBAA"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health</w:t>
      </w:r>
      <w:proofErr w:type="gramEnd"/>
      <w:r w:rsidRPr="00E07474">
        <w:rPr>
          <w:rFonts w:ascii="TimesNewRomanPS-BoldMT" w:hAnsi="TimesNewRomanPS-BoldMT" w:cs="TimesNewRomanPS-BoldMT"/>
          <w:sz w:val="20"/>
          <w:szCs w:val="24"/>
        </w:rPr>
        <w:t>.</w:t>
      </w:r>
    </w:p>
    <w:p w14:paraId="648B5746"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r w:rsidRPr="00E07474">
        <w:rPr>
          <w:rFonts w:ascii="TimesNewRomanPS-BoldMT" w:hAnsi="TimesNewRomanPS-BoldMT" w:cs="TimesNewRomanPS-BoldMT"/>
          <w:sz w:val="20"/>
          <w:szCs w:val="24"/>
        </w:rPr>
        <w:t>(b) An approval to construct issued under 18 AAC 80.210 is valid for two years after</w:t>
      </w:r>
    </w:p>
    <w:p w14:paraId="50A015A2"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issuance</w:t>
      </w:r>
      <w:proofErr w:type="gramEnd"/>
      <w:r w:rsidRPr="00E07474">
        <w:rPr>
          <w:rFonts w:ascii="TimesNewRomanPS-BoldMT" w:hAnsi="TimesNewRomanPS-BoldMT" w:cs="TimesNewRomanPS-BoldMT"/>
          <w:sz w:val="20"/>
          <w:szCs w:val="24"/>
        </w:rPr>
        <w:t>. If the applicant fails to complete a project to construct, install, alter, renovate, or</w:t>
      </w:r>
    </w:p>
    <w:p w14:paraId="286AD5B3"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improve</w:t>
      </w:r>
      <w:proofErr w:type="gramEnd"/>
      <w:r w:rsidRPr="00E07474">
        <w:rPr>
          <w:rFonts w:ascii="TimesNewRomanPS-BoldMT" w:hAnsi="TimesNewRomanPS-BoldMT" w:cs="TimesNewRomanPS-BoldMT"/>
          <w:sz w:val="20"/>
          <w:szCs w:val="24"/>
        </w:rPr>
        <w:t xml:space="preserve"> the public water system within the specified two years, the applicant must, before</w:t>
      </w:r>
    </w:p>
    <w:p w14:paraId="2594F272"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construction</w:t>
      </w:r>
      <w:proofErr w:type="gramEnd"/>
      <w:r w:rsidRPr="00E07474">
        <w:rPr>
          <w:rFonts w:ascii="TimesNewRomanPS-BoldMT" w:hAnsi="TimesNewRomanPS-BoldMT" w:cs="TimesNewRomanPS-BoldMT"/>
          <w:sz w:val="20"/>
          <w:szCs w:val="24"/>
        </w:rPr>
        <w:t xml:space="preserve"> approval expires, request an extension of construction approval to complete the</w:t>
      </w:r>
    </w:p>
    <w:p w14:paraId="5E25BEA7"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project</w:t>
      </w:r>
      <w:proofErr w:type="gramEnd"/>
      <w:r w:rsidRPr="00E07474">
        <w:rPr>
          <w:rFonts w:ascii="TimesNewRomanPS-BoldMT" w:hAnsi="TimesNewRomanPS-BoldMT" w:cs="TimesNewRomanPS-BoldMT"/>
          <w:sz w:val="20"/>
          <w:szCs w:val="24"/>
        </w:rPr>
        <w:t>. To apply for an extension, the applicant must resubmit, for department review and</w:t>
      </w:r>
    </w:p>
    <w:p w14:paraId="690FF232"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approval</w:t>
      </w:r>
      <w:proofErr w:type="gramEnd"/>
      <w:r w:rsidRPr="00E07474">
        <w:rPr>
          <w:rFonts w:ascii="TimesNewRomanPS-BoldMT" w:hAnsi="TimesNewRomanPS-BoldMT" w:cs="TimesNewRomanPS-BoldMT"/>
          <w:sz w:val="20"/>
          <w:szCs w:val="24"/>
        </w:rPr>
        <w:t>, the plans and information required under 18 AAC 80.210(a). If during the two-year</w:t>
      </w:r>
    </w:p>
    <w:p w14:paraId="23CB46BA"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period</w:t>
      </w:r>
      <w:proofErr w:type="gramEnd"/>
      <w:r w:rsidRPr="00E07474">
        <w:rPr>
          <w:rFonts w:ascii="TimesNewRomanPS-BoldMT" w:hAnsi="TimesNewRomanPS-BoldMT" w:cs="TimesNewRomanPS-BoldMT"/>
          <w:sz w:val="20"/>
          <w:szCs w:val="24"/>
        </w:rPr>
        <w:t xml:space="preserve"> the site conditions, plans and information, and relevant requirements in this chapter have</w:t>
      </w:r>
    </w:p>
    <w:p w14:paraId="486509E3"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not</w:t>
      </w:r>
      <w:proofErr w:type="gramEnd"/>
      <w:r w:rsidRPr="00E07474">
        <w:rPr>
          <w:rFonts w:ascii="TimesNewRomanPS-BoldMT" w:hAnsi="TimesNewRomanPS-BoldMT" w:cs="TimesNewRomanPS-BoldMT"/>
          <w:sz w:val="20"/>
          <w:szCs w:val="24"/>
        </w:rPr>
        <w:t xml:space="preserve"> changed, and if the applicant pays the fee required by 18 AAC 80.1910(a)(12), the</w:t>
      </w:r>
    </w:p>
    <w:p w14:paraId="67392BC5" w14:textId="77777777" w:rsidR="000912BC" w:rsidRPr="00E07474" w:rsidRDefault="000912BC" w:rsidP="000912BC">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department</w:t>
      </w:r>
      <w:proofErr w:type="gramEnd"/>
      <w:r w:rsidRPr="00E07474">
        <w:rPr>
          <w:rFonts w:ascii="TimesNewRomanPS-BoldMT" w:hAnsi="TimesNewRomanPS-BoldMT" w:cs="TimesNewRomanPS-BoldMT"/>
          <w:sz w:val="20"/>
          <w:szCs w:val="24"/>
        </w:rPr>
        <w:t xml:space="preserve"> will grant the applicant an extension. (Eff. 10/1/99, Register 151; am 4/24/2009,</w:t>
      </w:r>
    </w:p>
    <w:p w14:paraId="7EEFB2A2" w14:textId="17510A66" w:rsidR="000912BC" w:rsidRPr="00E07474" w:rsidRDefault="000912BC" w:rsidP="000912BC">
      <w:pPr>
        <w:spacing w:after="0" w:line="240" w:lineRule="auto"/>
        <w:contextualSpacing/>
        <w:rPr>
          <w:rFonts w:ascii="Calibri" w:hAnsi="Calibri"/>
          <w:sz w:val="20"/>
          <w:szCs w:val="24"/>
        </w:rPr>
      </w:pPr>
      <w:r w:rsidRPr="00E07474">
        <w:rPr>
          <w:rFonts w:ascii="TimesNewRomanPS-BoldMT" w:hAnsi="TimesNewRomanPS-BoldMT" w:cs="TimesNewRomanPS-BoldMT"/>
          <w:sz w:val="20"/>
          <w:szCs w:val="24"/>
        </w:rPr>
        <w:t>Register 190; am 7/25/2010, Register 195; am 5/3/2019, Register 230)</w:t>
      </w:r>
    </w:p>
    <w:p w14:paraId="07D7BC6C" w14:textId="77777777" w:rsidR="000912BC" w:rsidRDefault="000912BC" w:rsidP="00F54091">
      <w:pPr>
        <w:spacing w:after="0" w:line="240" w:lineRule="auto"/>
        <w:contextualSpacing/>
        <w:rPr>
          <w:rFonts w:ascii="Calibri" w:hAnsi="Calibri"/>
          <w:sz w:val="24"/>
          <w:szCs w:val="24"/>
        </w:rPr>
      </w:pPr>
    </w:p>
    <w:p w14:paraId="00C5AC52" w14:textId="32DA2EF3" w:rsidR="00ED2556" w:rsidRDefault="00ED2556" w:rsidP="00F54091">
      <w:pPr>
        <w:spacing w:after="0" w:line="240" w:lineRule="auto"/>
        <w:contextualSpacing/>
        <w:rPr>
          <w:rFonts w:ascii="Calibri" w:hAnsi="Calibri"/>
          <w:sz w:val="24"/>
          <w:szCs w:val="24"/>
        </w:rPr>
      </w:pPr>
      <w:r>
        <w:rPr>
          <w:rFonts w:ascii="Calibri" w:hAnsi="Calibri"/>
          <w:sz w:val="24"/>
          <w:szCs w:val="24"/>
        </w:rPr>
        <w:t>There are also penalties for failure to operate the PWS in accordance with the SDWA.</w:t>
      </w:r>
    </w:p>
    <w:p w14:paraId="07E337A3" w14:textId="28919252" w:rsidR="00ED2556" w:rsidRDefault="00ED2556" w:rsidP="00F54091">
      <w:pPr>
        <w:spacing w:after="0" w:line="240" w:lineRule="auto"/>
        <w:contextualSpacing/>
        <w:rPr>
          <w:rFonts w:ascii="Calibri" w:hAnsi="Calibri"/>
          <w:sz w:val="24"/>
          <w:szCs w:val="24"/>
        </w:rPr>
      </w:pPr>
      <w:r>
        <w:rPr>
          <w:rFonts w:ascii="Calibri" w:hAnsi="Calibri"/>
          <w:sz w:val="24"/>
          <w:szCs w:val="24"/>
        </w:rPr>
        <w:t xml:space="preserve">From the Alaska </w:t>
      </w:r>
      <w:proofErr w:type="spellStart"/>
      <w:r>
        <w:rPr>
          <w:rFonts w:ascii="Calibri" w:hAnsi="Calibri"/>
          <w:sz w:val="24"/>
          <w:szCs w:val="24"/>
        </w:rPr>
        <w:t>regs</w:t>
      </w:r>
      <w:proofErr w:type="spellEnd"/>
      <w:r>
        <w:rPr>
          <w:rFonts w:ascii="Calibri" w:hAnsi="Calibri"/>
          <w:sz w:val="24"/>
          <w:szCs w:val="24"/>
        </w:rPr>
        <w:t>…</w:t>
      </w:r>
    </w:p>
    <w:p w14:paraId="64F34396" w14:textId="77777777" w:rsidR="00E07474" w:rsidRDefault="00E07474" w:rsidP="00F54091">
      <w:pPr>
        <w:spacing w:after="0" w:line="240" w:lineRule="auto"/>
        <w:contextualSpacing/>
        <w:rPr>
          <w:rFonts w:ascii="Calibri" w:hAnsi="Calibri"/>
          <w:sz w:val="24"/>
          <w:szCs w:val="24"/>
        </w:rPr>
      </w:pPr>
    </w:p>
    <w:p w14:paraId="1B375476"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b/>
          <w:bCs/>
          <w:sz w:val="20"/>
          <w:szCs w:val="24"/>
        </w:rPr>
        <w:t>18 AAC 80.1200.</w:t>
      </w:r>
      <w:proofErr w:type="gramEnd"/>
      <w:r w:rsidRPr="00E07474">
        <w:rPr>
          <w:rFonts w:ascii="TimesNewRomanPS-BoldMT" w:hAnsi="TimesNewRomanPS-BoldMT" w:cs="TimesNewRomanPS-BoldMT"/>
          <w:b/>
          <w:bCs/>
          <w:sz w:val="20"/>
          <w:szCs w:val="24"/>
        </w:rPr>
        <w:t xml:space="preserve"> </w:t>
      </w:r>
      <w:proofErr w:type="gramStart"/>
      <w:r w:rsidRPr="00E07474">
        <w:rPr>
          <w:rFonts w:ascii="TimesNewRomanPS-BoldMT" w:hAnsi="TimesNewRomanPS-BoldMT" w:cs="TimesNewRomanPS-BoldMT"/>
          <w:b/>
          <w:bCs/>
          <w:sz w:val="20"/>
          <w:szCs w:val="24"/>
        </w:rPr>
        <w:t>Circumstances for assessing a penalty.</w:t>
      </w:r>
      <w:proofErr w:type="gramEnd"/>
      <w:r w:rsidRPr="00E07474">
        <w:rPr>
          <w:rFonts w:ascii="TimesNewRomanPS-BoldMT" w:hAnsi="TimesNewRomanPS-BoldMT" w:cs="TimesNewRomanPS-BoldMT"/>
          <w:b/>
          <w:bCs/>
          <w:sz w:val="20"/>
          <w:szCs w:val="24"/>
        </w:rPr>
        <w:t xml:space="preserve"> </w:t>
      </w:r>
      <w:r w:rsidRPr="00E07474">
        <w:rPr>
          <w:rFonts w:ascii="TimesNewRomanPS-BoldMT" w:hAnsi="TimesNewRomanPS-BoldMT" w:cs="TimesNewRomanPS-BoldMT"/>
          <w:sz w:val="20"/>
          <w:szCs w:val="24"/>
        </w:rPr>
        <w:t>The department may assess</w:t>
      </w:r>
    </w:p>
    <w:p w14:paraId="34AFFB79"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a</w:t>
      </w:r>
      <w:proofErr w:type="gramEnd"/>
      <w:r w:rsidRPr="00E07474">
        <w:rPr>
          <w:rFonts w:ascii="TimesNewRomanPS-BoldMT" w:hAnsi="TimesNewRomanPS-BoldMT" w:cs="TimesNewRomanPS-BoldMT"/>
          <w:sz w:val="20"/>
          <w:szCs w:val="24"/>
        </w:rPr>
        <w:t xml:space="preserve"> penalty against an entity that violates or causes or permits to be violated a term or condition of</w:t>
      </w:r>
    </w:p>
    <w:p w14:paraId="5E4F2B2B"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this</w:t>
      </w:r>
      <w:proofErr w:type="gramEnd"/>
      <w:r w:rsidRPr="00E07474">
        <w:rPr>
          <w:rFonts w:ascii="TimesNewRomanPS-BoldMT" w:hAnsi="TimesNewRomanPS-BoldMT" w:cs="TimesNewRomanPS-BoldMT"/>
          <w:sz w:val="20"/>
          <w:szCs w:val="24"/>
        </w:rPr>
        <w:t xml:space="preserve"> chapter, or a term or condition of an order, permit, approval, or certificate issued under this</w:t>
      </w:r>
    </w:p>
    <w:p w14:paraId="1E380523"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chapter</w:t>
      </w:r>
      <w:proofErr w:type="gramEnd"/>
      <w:r w:rsidRPr="00E07474">
        <w:rPr>
          <w:rFonts w:ascii="TimesNewRomanPS-BoldMT" w:hAnsi="TimesNewRomanPS-BoldMT" w:cs="TimesNewRomanPS-BoldMT"/>
          <w:sz w:val="20"/>
          <w:szCs w:val="24"/>
        </w:rPr>
        <w:t>. The penalty assessed will be stated in terms of dollars per day per violation in</w:t>
      </w:r>
    </w:p>
    <w:p w14:paraId="6629D47F"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accordance</w:t>
      </w:r>
      <w:proofErr w:type="gramEnd"/>
      <w:r w:rsidRPr="00E07474">
        <w:rPr>
          <w:rFonts w:ascii="TimesNewRomanPS-BoldMT" w:hAnsi="TimesNewRomanPS-BoldMT" w:cs="TimesNewRomanPS-BoldMT"/>
          <w:sz w:val="20"/>
          <w:szCs w:val="24"/>
        </w:rPr>
        <w:t xml:space="preserve"> with AS 46.03.761(g). (Eff. 9/21/2002, Register 163)</w:t>
      </w:r>
    </w:p>
    <w:p w14:paraId="6DCA0299"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r w:rsidRPr="00E07474">
        <w:rPr>
          <w:rFonts w:ascii="TimesNewRomanPS-BoldMT" w:hAnsi="TimesNewRomanPS-BoldMT" w:cs="TimesNewRomanPS-BoldMT"/>
          <w:b/>
          <w:bCs/>
          <w:sz w:val="20"/>
          <w:szCs w:val="24"/>
        </w:rPr>
        <w:t xml:space="preserve">Authority: </w:t>
      </w:r>
      <w:r w:rsidRPr="00E07474">
        <w:rPr>
          <w:rFonts w:ascii="TimesNewRomanPS-BoldMT" w:hAnsi="TimesNewRomanPS-BoldMT" w:cs="TimesNewRomanPS-BoldMT"/>
          <w:sz w:val="20"/>
          <w:szCs w:val="24"/>
        </w:rPr>
        <w:t>AS 46.03.020 AS 46.03.761</w:t>
      </w:r>
    </w:p>
    <w:p w14:paraId="79D28816"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b/>
          <w:bCs/>
          <w:sz w:val="20"/>
          <w:szCs w:val="24"/>
        </w:rPr>
        <w:t>18 AAC 80.1210.</w:t>
      </w:r>
      <w:proofErr w:type="gramEnd"/>
      <w:r w:rsidRPr="00E07474">
        <w:rPr>
          <w:rFonts w:ascii="TimesNewRomanPS-BoldMT" w:hAnsi="TimesNewRomanPS-BoldMT" w:cs="TimesNewRomanPS-BoldMT"/>
          <w:b/>
          <w:bCs/>
          <w:sz w:val="20"/>
          <w:szCs w:val="24"/>
        </w:rPr>
        <w:t xml:space="preserve"> Notice of violation. </w:t>
      </w:r>
      <w:r w:rsidRPr="00E07474">
        <w:rPr>
          <w:rFonts w:ascii="TimesNewRomanPS-BoldMT" w:hAnsi="TimesNewRomanPS-BoldMT" w:cs="TimesNewRomanPS-BoldMT"/>
          <w:sz w:val="20"/>
          <w:szCs w:val="24"/>
        </w:rPr>
        <w:t>(a) Before assessing an administrative penalty</w:t>
      </w:r>
    </w:p>
    <w:p w14:paraId="1CBBB266"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under</w:t>
      </w:r>
      <w:proofErr w:type="gramEnd"/>
      <w:r w:rsidRPr="00E07474">
        <w:rPr>
          <w:rFonts w:ascii="TimesNewRomanPS-BoldMT" w:hAnsi="TimesNewRomanPS-BoldMT" w:cs="TimesNewRomanPS-BoldMT"/>
          <w:sz w:val="20"/>
          <w:szCs w:val="24"/>
        </w:rPr>
        <w:t xml:space="preserve"> 18 AAC 80.1200 - 18 AAC 80.1290, the department will provide to the entity, by personal</w:t>
      </w:r>
    </w:p>
    <w:p w14:paraId="67B7B703"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service</w:t>
      </w:r>
      <w:proofErr w:type="gramEnd"/>
      <w:r w:rsidRPr="00E07474">
        <w:rPr>
          <w:rFonts w:ascii="TimesNewRomanPS-BoldMT" w:hAnsi="TimesNewRomanPS-BoldMT" w:cs="TimesNewRomanPS-BoldMT"/>
          <w:sz w:val="20"/>
          <w:szCs w:val="24"/>
        </w:rPr>
        <w:t xml:space="preserve"> or by certified mail, return receipt requested, a written notice in conformance with</w:t>
      </w:r>
    </w:p>
    <w:p w14:paraId="0DF4E4A1"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AS 46.03.761(b) of the violation.</w:t>
      </w:r>
      <w:proofErr w:type="gramEnd"/>
      <w:r w:rsidRPr="00E07474">
        <w:rPr>
          <w:rFonts w:ascii="TimesNewRomanPS-BoldMT" w:hAnsi="TimesNewRomanPS-BoldMT" w:cs="TimesNewRomanPS-BoldMT"/>
          <w:sz w:val="20"/>
          <w:szCs w:val="24"/>
        </w:rPr>
        <w:t xml:space="preserve"> The department will send a copy of the notice of violation to</w:t>
      </w:r>
    </w:p>
    <w:p w14:paraId="06F3B59B"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the</w:t>
      </w:r>
      <w:proofErr w:type="gramEnd"/>
      <w:r w:rsidRPr="00E07474">
        <w:rPr>
          <w:rFonts w:ascii="TimesNewRomanPS-BoldMT" w:hAnsi="TimesNewRomanPS-BoldMT" w:cs="TimesNewRomanPS-BoldMT"/>
          <w:sz w:val="20"/>
          <w:szCs w:val="24"/>
        </w:rPr>
        <w:t xml:space="preserve"> governing body of the community or municipality whose residents are served by the public</w:t>
      </w:r>
    </w:p>
    <w:p w14:paraId="73A716C6" w14:textId="6A2ABB7A" w:rsidR="00ED2556" w:rsidRPr="00E07474" w:rsidRDefault="00E07474" w:rsidP="00E07474">
      <w:pPr>
        <w:spacing w:after="0" w:line="240" w:lineRule="auto"/>
        <w:contextualSpacing/>
        <w:rPr>
          <w:rFonts w:ascii="TimesNewRomanPS-BoldMT" w:hAnsi="TimesNewRomanPS-BoldMT" w:cs="TimesNewRomanPS-BoldMT"/>
          <w:sz w:val="16"/>
          <w:szCs w:val="24"/>
        </w:rPr>
      </w:pPr>
      <w:proofErr w:type="gramStart"/>
      <w:r w:rsidRPr="00E07474">
        <w:rPr>
          <w:rFonts w:ascii="TimesNewRomanPS-BoldMT" w:hAnsi="TimesNewRomanPS-BoldMT" w:cs="TimesNewRomanPS-BoldMT"/>
          <w:sz w:val="20"/>
          <w:szCs w:val="24"/>
        </w:rPr>
        <w:t>water</w:t>
      </w:r>
      <w:proofErr w:type="gramEnd"/>
      <w:r w:rsidRPr="00E07474">
        <w:rPr>
          <w:rFonts w:ascii="TimesNewRomanPS-BoldMT" w:hAnsi="TimesNewRomanPS-BoldMT" w:cs="TimesNewRomanPS-BoldMT"/>
          <w:sz w:val="20"/>
          <w:szCs w:val="24"/>
        </w:rPr>
        <w:t xml:space="preserve"> system….</w:t>
      </w:r>
    </w:p>
    <w:p w14:paraId="15DD69A6" w14:textId="77777777" w:rsidR="00E07474" w:rsidRPr="00E07474" w:rsidRDefault="00E07474" w:rsidP="00E07474">
      <w:pPr>
        <w:spacing w:after="0" w:line="240" w:lineRule="auto"/>
        <w:contextualSpacing/>
        <w:rPr>
          <w:rFonts w:ascii="TimesNewRomanPS-BoldMT" w:hAnsi="TimesNewRomanPS-BoldMT" w:cs="TimesNewRomanPS-BoldMT"/>
          <w:sz w:val="16"/>
          <w:szCs w:val="24"/>
        </w:rPr>
      </w:pPr>
    </w:p>
    <w:p w14:paraId="3E5EDBF7"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b/>
          <w:bCs/>
          <w:sz w:val="20"/>
          <w:szCs w:val="24"/>
        </w:rPr>
        <w:t>18 AAC 80.1220.</w:t>
      </w:r>
      <w:proofErr w:type="gramEnd"/>
      <w:r w:rsidRPr="00E07474">
        <w:rPr>
          <w:rFonts w:ascii="TimesNewRomanPS-BoldMT" w:hAnsi="TimesNewRomanPS-BoldMT" w:cs="TimesNewRomanPS-BoldMT"/>
          <w:b/>
          <w:bCs/>
          <w:sz w:val="20"/>
          <w:szCs w:val="24"/>
        </w:rPr>
        <w:t xml:space="preserve"> </w:t>
      </w:r>
      <w:proofErr w:type="gramStart"/>
      <w:r w:rsidRPr="00E07474">
        <w:rPr>
          <w:rFonts w:ascii="TimesNewRomanPS-BoldMT" w:hAnsi="TimesNewRomanPS-BoldMT" w:cs="TimesNewRomanPS-BoldMT"/>
          <w:b/>
          <w:bCs/>
          <w:sz w:val="20"/>
          <w:szCs w:val="24"/>
        </w:rPr>
        <w:t>Calculation of penalty.</w:t>
      </w:r>
      <w:proofErr w:type="gramEnd"/>
      <w:r w:rsidRPr="00E07474">
        <w:rPr>
          <w:rFonts w:ascii="TimesNewRomanPS-BoldMT" w:hAnsi="TimesNewRomanPS-BoldMT" w:cs="TimesNewRomanPS-BoldMT"/>
          <w:b/>
          <w:bCs/>
          <w:sz w:val="20"/>
          <w:szCs w:val="24"/>
        </w:rPr>
        <w:t xml:space="preserve"> </w:t>
      </w:r>
      <w:r w:rsidRPr="00E07474">
        <w:rPr>
          <w:rFonts w:ascii="TimesNewRomanPS-BoldMT" w:hAnsi="TimesNewRomanPS-BoldMT" w:cs="TimesNewRomanPS-BoldMT"/>
          <w:sz w:val="20"/>
          <w:szCs w:val="24"/>
        </w:rPr>
        <w:t>(a) Subject to (f) of this section and the limits</w:t>
      </w:r>
    </w:p>
    <w:p w14:paraId="58297902"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imposed</w:t>
      </w:r>
      <w:proofErr w:type="gramEnd"/>
      <w:r w:rsidRPr="00E07474">
        <w:rPr>
          <w:rFonts w:ascii="TimesNewRomanPS-BoldMT" w:hAnsi="TimesNewRomanPS-BoldMT" w:cs="TimesNewRomanPS-BoldMT"/>
          <w:sz w:val="20"/>
          <w:szCs w:val="24"/>
        </w:rPr>
        <w:t xml:space="preserve"> by AS 46.03.761(g), the per day per violation administrative penalty will be calculated in</w:t>
      </w:r>
    </w:p>
    <w:p w14:paraId="4A14193E"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accordance</w:t>
      </w:r>
      <w:proofErr w:type="gramEnd"/>
      <w:r w:rsidRPr="00E07474">
        <w:rPr>
          <w:rFonts w:ascii="TimesNewRomanPS-BoldMT" w:hAnsi="TimesNewRomanPS-BoldMT" w:cs="TimesNewRomanPS-BoldMT"/>
          <w:sz w:val="20"/>
          <w:szCs w:val="24"/>
        </w:rPr>
        <w:t xml:space="preserve"> with the following formula:</w:t>
      </w:r>
    </w:p>
    <w:p w14:paraId="00193F5C" w14:textId="77777777" w:rsidR="00E07474" w:rsidRPr="00E07474" w:rsidRDefault="00E07474" w:rsidP="00E07474">
      <w:pPr>
        <w:widowControl w:val="0"/>
        <w:autoSpaceDE w:val="0"/>
        <w:autoSpaceDN w:val="0"/>
        <w:adjustRightInd w:val="0"/>
        <w:spacing w:after="0" w:line="240" w:lineRule="auto"/>
        <w:ind w:left="720"/>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penalty</w:t>
      </w:r>
      <w:proofErr w:type="gramEnd"/>
      <w:r w:rsidRPr="00E07474">
        <w:rPr>
          <w:rFonts w:ascii="TimesNewRomanPS-BoldMT" w:hAnsi="TimesNewRomanPS-BoldMT" w:cs="TimesNewRomanPS-BoldMT"/>
          <w:sz w:val="20"/>
          <w:szCs w:val="24"/>
        </w:rPr>
        <w:t xml:space="preserve"> = (A x B x C x $10) + D</w:t>
      </w:r>
    </w:p>
    <w:p w14:paraId="63A06C1C" w14:textId="77777777" w:rsidR="00E07474" w:rsidRPr="00E07474" w:rsidRDefault="00E07474" w:rsidP="00E07474">
      <w:pPr>
        <w:widowControl w:val="0"/>
        <w:autoSpaceDE w:val="0"/>
        <w:autoSpaceDN w:val="0"/>
        <w:adjustRightInd w:val="0"/>
        <w:spacing w:after="0" w:line="240" w:lineRule="auto"/>
        <w:rPr>
          <w:rFonts w:ascii="TimesNewRomanPS-BoldMT" w:hAnsi="TimesNewRomanPS-BoldMT" w:cs="TimesNewRomanPS-BoldMT"/>
          <w:sz w:val="20"/>
          <w:szCs w:val="24"/>
        </w:rPr>
      </w:pPr>
      <w:proofErr w:type="gramStart"/>
      <w:r w:rsidRPr="00E07474">
        <w:rPr>
          <w:rFonts w:ascii="TimesNewRomanPS-BoldMT" w:hAnsi="TimesNewRomanPS-BoldMT" w:cs="TimesNewRomanPS-BoldMT"/>
          <w:sz w:val="20"/>
          <w:szCs w:val="24"/>
        </w:rPr>
        <w:t>where</w:t>
      </w:r>
      <w:proofErr w:type="gramEnd"/>
      <w:r w:rsidRPr="00E07474">
        <w:rPr>
          <w:rFonts w:ascii="TimesNewRomanPS-BoldMT" w:hAnsi="TimesNewRomanPS-BoldMT" w:cs="TimesNewRomanPS-BoldMT"/>
          <w:sz w:val="20"/>
          <w:szCs w:val="24"/>
        </w:rPr>
        <w:t>:</w:t>
      </w:r>
    </w:p>
    <w:p w14:paraId="1C605726" w14:textId="77777777" w:rsidR="00E07474" w:rsidRPr="00E07474" w:rsidRDefault="00E07474" w:rsidP="00E07474">
      <w:pPr>
        <w:widowControl w:val="0"/>
        <w:autoSpaceDE w:val="0"/>
        <w:autoSpaceDN w:val="0"/>
        <w:adjustRightInd w:val="0"/>
        <w:spacing w:after="0" w:line="240" w:lineRule="auto"/>
        <w:ind w:left="720"/>
        <w:rPr>
          <w:rFonts w:ascii="TimesNewRomanPS-BoldMT" w:hAnsi="TimesNewRomanPS-BoldMT" w:cs="TimesNewRomanPS-BoldMT"/>
          <w:sz w:val="20"/>
          <w:szCs w:val="24"/>
        </w:rPr>
      </w:pPr>
      <w:r w:rsidRPr="00E07474">
        <w:rPr>
          <w:rFonts w:ascii="TimesNewRomanPS-BoldMT" w:hAnsi="TimesNewRomanPS-BoldMT" w:cs="TimesNewRomanPS-BoldMT"/>
          <w:sz w:val="20"/>
          <w:szCs w:val="24"/>
        </w:rPr>
        <w:t>A = the point value assigned under (b) of this section;</w:t>
      </w:r>
    </w:p>
    <w:p w14:paraId="36FC2047" w14:textId="77777777" w:rsidR="00E07474" w:rsidRPr="00E07474" w:rsidRDefault="00E07474" w:rsidP="00E07474">
      <w:pPr>
        <w:widowControl w:val="0"/>
        <w:autoSpaceDE w:val="0"/>
        <w:autoSpaceDN w:val="0"/>
        <w:adjustRightInd w:val="0"/>
        <w:spacing w:after="0" w:line="240" w:lineRule="auto"/>
        <w:ind w:left="720"/>
        <w:rPr>
          <w:rFonts w:ascii="TimesNewRomanPS-BoldMT" w:hAnsi="TimesNewRomanPS-BoldMT" w:cs="TimesNewRomanPS-BoldMT"/>
          <w:sz w:val="20"/>
          <w:szCs w:val="24"/>
        </w:rPr>
      </w:pPr>
      <w:r w:rsidRPr="00E07474">
        <w:rPr>
          <w:rFonts w:ascii="TimesNewRomanPS-BoldMT" w:hAnsi="TimesNewRomanPS-BoldMT" w:cs="TimesNewRomanPS-BoldMT"/>
          <w:sz w:val="20"/>
          <w:szCs w:val="24"/>
        </w:rPr>
        <w:t>B = the point value assigned under (c) of this section;</w:t>
      </w:r>
    </w:p>
    <w:p w14:paraId="016F049C" w14:textId="77777777" w:rsidR="00E07474" w:rsidRPr="00E07474" w:rsidRDefault="00E07474" w:rsidP="00E07474">
      <w:pPr>
        <w:widowControl w:val="0"/>
        <w:autoSpaceDE w:val="0"/>
        <w:autoSpaceDN w:val="0"/>
        <w:adjustRightInd w:val="0"/>
        <w:spacing w:after="0" w:line="240" w:lineRule="auto"/>
        <w:ind w:left="720"/>
        <w:rPr>
          <w:rFonts w:ascii="TimesNewRomanPS-BoldMT" w:hAnsi="TimesNewRomanPS-BoldMT" w:cs="TimesNewRomanPS-BoldMT"/>
          <w:sz w:val="20"/>
          <w:szCs w:val="24"/>
        </w:rPr>
      </w:pPr>
      <w:r w:rsidRPr="00E07474">
        <w:rPr>
          <w:rFonts w:ascii="TimesNewRomanPS-BoldMT" w:hAnsi="TimesNewRomanPS-BoldMT" w:cs="TimesNewRomanPS-BoldMT"/>
          <w:sz w:val="20"/>
          <w:szCs w:val="24"/>
        </w:rPr>
        <w:t>C = the point value assigned under (d) of this section;</w:t>
      </w:r>
    </w:p>
    <w:p w14:paraId="02EA2DF9" w14:textId="3AE51F83" w:rsidR="00E07474" w:rsidRPr="00E07474" w:rsidRDefault="00E07474" w:rsidP="00E07474">
      <w:pPr>
        <w:spacing w:after="0" w:line="240" w:lineRule="auto"/>
        <w:ind w:left="720"/>
        <w:contextualSpacing/>
        <w:rPr>
          <w:rFonts w:ascii="TimesNewRomanPS-BoldMT" w:hAnsi="TimesNewRomanPS-BoldMT" w:cs="TimesNewRomanPS-BoldMT"/>
          <w:sz w:val="16"/>
          <w:szCs w:val="24"/>
        </w:rPr>
      </w:pPr>
      <w:r w:rsidRPr="00E07474">
        <w:rPr>
          <w:rFonts w:ascii="TimesNewRomanPS-BoldMT" w:hAnsi="TimesNewRomanPS-BoldMT" w:cs="TimesNewRomanPS-BoldMT"/>
          <w:sz w:val="20"/>
          <w:szCs w:val="24"/>
        </w:rPr>
        <w:t>D = the number determined under the formula set out in (e) of this section</w:t>
      </w:r>
      <w:r>
        <w:rPr>
          <w:rFonts w:ascii="TimesNewRomanPS-BoldMT" w:hAnsi="TimesNewRomanPS-BoldMT" w:cs="TimesNewRomanPS-BoldMT"/>
          <w:sz w:val="20"/>
          <w:szCs w:val="24"/>
        </w:rPr>
        <w:t>…</w:t>
      </w:r>
    </w:p>
    <w:p w14:paraId="04671DAD" w14:textId="77777777" w:rsidR="00E07474" w:rsidRDefault="00E07474" w:rsidP="00E07474">
      <w:pPr>
        <w:spacing w:after="0" w:line="240" w:lineRule="auto"/>
        <w:contextualSpacing/>
        <w:rPr>
          <w:rFonts w:ascii="Calibri" w:hAnsi="Calibri"/>
          <w:sz w:val="24"/>
          <w:szCs w:val="24"/>
        </w:rPr>
      </w:pPr>
    </w:p>
    <w:p w14:paraId="2806A083" w14:textId="77777777" w:rsidR="00E31682" w:rsidRPr="00E31682" w:rsidRDefault="00E31682" w:rsidP="00E31682">
      <w:pPr>
        <w:spacing w:after="0" w:line="240" w:lineRule="auto"/>
        <w:contextualSpacing/>
        <w:rPr>
          <w:rFonts w:ascii="Calibri" w:hAnsi="Calibri"/>
          <w:sz w:val="20"/>
          <w:szCs w:val="24"/>
        </w:rPr>
      </w:pPr>
      <w:r w:rsidRPr="00E31682">
        <w:rPr>
          <w:rFonts w:ascii="Calibri" w:hAnsi="Calibri"/>
          <w:sz w:val="20"/>
          <w:szCs w:val="24"/>
        </w:rPr>
        <w:t>A=</w:t>
      </w:r>
    </w:p>
    <w:p w14:paraId="2148864D" w14:textId="77777777" w:rsidR="00000000" w:rsidRPr="00E31682" w:rsidRDefault="00E31682" w:rsidP="00E31682">
      <w:pPr>
        <w:numPr>
          <w:ilvl w:val="1"/>
          <w:numId w:val="23"/>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1 pt. </w:t>
      </w:r>
      <w:r w:rsidRPr="00E31682">
        <w:rPr>
          <w:rFonts w:ascii="Calibri" w:hAnsi="Calibri"/>
          <w:sz w:val="20"/>
          <w:szCs w:val="24"/>
        </w:rPr>
        <w:t>- minor impacts on public health, e.g., failure to produce a CCR or meet a secondary MCL</w:t>
      </w:r>
    </w:p>
    <w:p w14:paraId="7655011A" w14:textId="77777777" w:rsidR="00000000" w:rsidRPr="00E31682" w:rsidRDefault="00E31682" w:rsidP="00E31682">
      <w:pPr>
        <w:numPr>
          <w:ilvl w:val="1"/>
          <w:numId w:val="23"/>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2 pts. - </w:t>
      </w:r>
      <w:proofErr w:type="gramStart"/>
      <w:r w:rsidRPr="00E31682">
        <w:rPr>
          <w:rFonts w:ascii="Calibri" w:hAnsi="Calibri"/>
          <w:sz w:val="20"/>
          <w:szCs w:val="24"/>
        </w:rPr>
        <w:t>prevent</w:t>
      </w:r>
      <w:proofErr w:type="gramEnd"/>
      <w:r w:rsidRPr="00E31682">
        <w:rPr>
          <w:rFonts w:ascii="Calibri" w:hAnsi="Calibri"/>
          <w:sz w:val="20"/>
          <w:szCs w:val="24"/>
        </w:rPr>
        <w:t xml:space="preserve"> the DEC’s assessment of public safety, e.g., failing to report things</w:t>
      </w:r>
    </w:p>
    <w:p w14:paraId="36182713" w14:textId="77777777" w:rsidR="00000000" w:rsidRPr="00E31682" w:rsidRDefault="00E31682" w:rsidP="00E31682">
      <w:pPr>
        <w:numPr>
          <w:ilvl w:val="1"/>
          <w:numId w:val="23"/>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3 pts. - </w:t>
      </w:r>
      <w:proofErr w:type="gramStart"/>
      <w:r w:rsidRPr="00E31682">
        <w:rPr>
          <w:rFonts w:ascii="Calibri" w:hAnsi="Calibri"/>
          <w:sz w:val="20"/>
          <w:szCs w:val="24"/>
        </w:rPr>
        <w:t>could</w:t>
      </w:r>
      <w:proofErr w:type="gramEnd"/>
      <w:r w:rsidRPr="00E31682">
        <w:rPr>
          <w:rFonts w:ascii="Calibri" w:hAnsi="Calibri"/>
          <w:sz w:val="20"/>
          <w:szCs w:val="24"/>
        </w:rPr>
        <w:t xml:space="preserve"> prevent the PWS from supplying water to the public</w:t>
      </w:r>
    </w:p>
    <w:p w14:paraId="579FDBA4" w14:textId="77777777" w:rsidR="00000000" w:rsidRPr="00E31682" w:rsidRDefault="00E31682" w:rsidP="00E31682">
      <w:pPr>
        <w:numPr>
          <w:ilvl w:val="1"/>
          <w:numId w:val="23"/>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4 pts. - </w:t>
      </w:r>
      <w:proofErr w:type="gramStart"/>
      <w:r w:rsidRPr="00E31682">
        <w:rPr>
          <w:rFonts w:ascii="Calibri" w:hAnsi="Calibri"/>
          <w:sz w:val="20"/>
          <w:szCs w:val="24"/>
        </w:rPr>
        <w:t>a</w:t>
      </w:r>
      <w:proofErr w:type="gramEnd"/>
      <w:r w:rsidRPr="00E31682">
        <w:rPr>
          <w:rFonts w:ascii="Calibri" w:hAnsi="Calibri"/>
          <w:sz w:val="20"/>
          <w:szCs w:val="24"/>
        </w:rPr>
        <w:t xml:space="preserve"> specific, known health concern, e.g., failing to monitor for colifo</w:t>
      </w:r>
      <w:r w:rsidRPr="00E31682">
        <w:rPr>
          <w:rFonts w:ascii="Calibri" w:hAnsi="Calibri"/>
          <w:sz w:val="20"/>
          <w:szCs w:val="24"/>
        </w:rPr>
        <w:t>rm</w:t>
      </w:r>
    </w:p>
    <w:p w14:paraId="2ABA1751" w14:textId="77777777" w:rsidR="00000000" w:rsidRPr="00E31682" w:rsidRDefault="00E31682" w:rsidP="00E31682">
      <w:pPr>
        <w:numPr>
          <w:ilvl w:val="1"/>
          <w:numId w:val="23"/>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5 pts. </w:t>
      </w:r>
      <w:r w:rsidRPr="00E31682">
        <w:rPr>
          <w:rFonts w:ascii="Calibri" w:hAnsi="Calibri"/>
          <w:sz w:val="20"/>
          <w:szCs w:val="24"/>
          <w:lang w:val="mr-IN"/>
        </w:rPr>
        <w:t>–</w:t>
      </w:r>
      <w:r w:rsidRPr="00E31682">
        <w:rPr>
          <w:rFonts w:ascii="Calibri" w:hAnsi="Calibri"/>
          <w:sz w:val="20"/>
          <w:szCs w:val="24"/>
        </w:rPr>
        <w:t xml:space="preserve"> unapproved or deficient PWS, e.g., </w:t>
      </w:r>
      <w:proofErr w:type="gramStart"/>
      <w:r w:rsidRPr="00E31682">
        <w:rPr>
          <w:rFonts w:ascii="Calibri" w:hAnsi="Calibri"/>
          <w:sz w:val="20"/>
          <w:szCs w:val="24"/>
        </w:rPr>
        <w:t>failing</w:t>
      </w:r>
      <w:proofErr w:type="gramEnd"/>
      <w:r w:rsidRPr="00E31682">
        <w:rPr>
          <w:rFonts w:ascii="Calibri" w:hAnsi="Calibri"/>
          <w:sz w:val="20"/>
          <w:szCs w:val="24"/>
        </w:rPr>
        <w:t xml:space="preserve"> to corr</w:t>
      </w:r>
      <w:r w:rsidRPr="00E31682">
        <w:rPr>
          <w:rFonts w:ascii="Calibri" w:hAnsi="Calibri"/>
          <w:sz w:val="20"/>
          <w:szCs w:val="24"/>
        </w:rPr>
        <w:t>ect previous deficiencies, un-certified operator</w:t>
      </w:r>
    </w:p>
    <w:p w14:paraId="401D581E" w14:textId="77777777" w:rsidR="00000000" w:rsidRPr="00E31682" w:rsidRDefault="00E31682" w:rsidP="00E31682">
      <w:pPr>
        <w:numPr>
          <w:ilvl w:val="1"/>
          <w:numId w:val="23"/>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6 pts. </w:t>
      </w:r>
      <w:r w:rsidRPr="00E31682">
        <w:rPr>
          <w:rFonts w:ascii="Calibri" w:hAnsi="Calibri"/>
          <w:sz w:val="20"/>
          <w:szCs w:val="24"/>
          <w:lang w:val="mr-IN"/>
        </w:rPr>
        <w:t>–</w:t>
      </w:r>
      <w:r w:rsidRPr="00E31682">
        <w:rPr>
          <w:rFonts w:ascii="Calibri" w:hAnsi="Calibri"/>
          <w:sz w:val="20"/>
          <w:szCs w:val="24"/>
        </w:rPr>
        <w:t xml:space="preserve"> immediate threat to public health, e.g., </w:t>
      </w:r>
      <w:proofErr w:type="gramStart"/>
      <w:r w:rsidRPr="00E31682">
        <w:rPr>
          <w:rFonts w:ascii="Calibri" w:hAnsi="Calibri"/>
          <w:sz w:val="20"/>
          <w:szCs w:val="24"/>
        </w:rPr>
        <w:t>failure</w:t>
      </w:r>
      <w:proofErr w:type="gramEnd"/>
      <w:r w:rsidRPr="00E31682">
        <w:rPr>
          <w:rFonts w:ascii="Calibri" w:hAnsi="Calibri"/>
          <w:sz w:val="20"/>
          <w:szCs w:val="24"/>
        </w:rPr>
        <w:t xml:space="preserve"> to meet specific MCLs</w:t>
      </w:r>
    </w:p>
    <w:p w14:paraId="40CA3AA2" w14:textId="77777777" w:rsidR="00E31682" w:rsidRPr="00E31682" w:rsidRDefault="00E31682" w:rsidP="00E31682">
      <w:pPr>
        <w:spacing w:after="0" w:line="240" w:lineRule="auto"/>
        <w:contextualSpacing/>
        <w:rPr>
          <w:rFonts w:ascii="Calibri" w:hAnsi="Calibri"/>
          <w:sz w:val="20"/>
          <w:szCs w:val="24"/>
        </w:rPr>
      </w:pPr>
      <w:r w:rsidRPr="00E31682">
        <w:rPr>
          <w:rFonts w:ascii="Calibri" w:hAnsi="Calibri"/>
          <w:sz w:val="20"/>
          <w:szCs w:val="24"/>
        </w:rPr>
        <w:t>B=</w:t>
      </w:r>
    </w:p>
    <w:p w14:paraId="29383A7C" w14:textId="77777777" w:rsidR="00000000" w:rsidRPr="00E31682" w:rsidRDefault="00E31682" w:rsidP="00E31682">
      <w:pPr>
        <w:numPr>
          <w:ilvl w:val="1"/>
          <w:numId w:val="24"/>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7 pts. </w:t>
      </w:r>
      <w:proofErr w:type="gramStart"/>
      <w:r w:rsidRPr="00E31682">
        <w:rPr>
          <w:rFonts w:ascii="Calibri" w:hAnsi="Calibri"/>
          <w:sz w:val="20"/>
          <w:szCs w:val="24"/>
        </w:rPr>
        <w:t>if</w:t>
      </w:r>
      <w:proofErr w:type="gramEnd"/>
      <w:r w:rsidRPr="00E31682">
        <w:rPr>
          <w:rFonts w:ascii="Calibri" w:hAnsi="Calibri"/>
          <w:sz w:val="20"/>
          <w:szCs w:val="24"/>
        </w:rPr>
        <w:t xml:space="preserve"> previous violations within last 5 years worth 4-6 pts. </w:t>
      </w:r>
      <w:proofErr w:type="gramStart"/>
      <w:r w:rsidRPr="00E31682">
        <w:rPr>
          <w:rFonts w:ascii="Calibri" w:hAnsi="Calibri"/>
          <w:sz w:val="20"/>
          <w:szCs w:val="24"/>
        </w:rPr>
        <w:t>above</w:t>
      </w:r>
      <w:proofErr w:type="gramEnd"/>
    </w:p>
    <w:p w14:paraId="6D287485" w14:textId="77777777" w:rsidR="00000000" w:rsidRPr="00E31682" w:rsidRDefault="00E31682" w:rsidP="00E31682">
      <w:pPr>
        <w:numPr>
          <w:ilvl w:val="1"/>
          <w:numId w:val="24"/>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 xml:space="preserve">3 pts. </w:t>
      </w:r>
      <w:proofErr w:type="gramStart"/>
      <w:r w:rsidRPr="00E31682">
        <w:rPr>
          <w:rFonts w:ascii="Calibri" w:hAnsi="Calibri"/>
          <w:sz w:val="20"/>
          <w:szCs w:val="24"/>
        </w:rPr>
        <w:t>if</w:t>
      </w:r>
      <w:proofErr w:type="gramEnd"/>
      <w:r w:rsidRPr="00E31682">
        <w:rPr>
          <w:rFonts w:ascii="Calibri" w:hAnsi="Calibri"/>
          <w:sz w:val="20"/>
          <w:szCs w:val="24"/>
        </w:rPr>
        <w:t xml:space="preserve"> previous violations within last </w:t>
      </w:r>
      <w:r w:rsidRPr="00E31682">
        <w:rPr>
          <w:rFonts w:ascii="Calibri" w:hAnsi="Calibri"/>
          <w:sz w:val="20"/>
          <w:szCs w:val="24"/>
        </w:rPr>
        <w:t xml:space="preserve">5 years worth 1-3 pts. </w:t>
      </w:r>
      <w:proofErr w:type="gramStart"/>
      <w:r w:rsidRPr="00E31682">
        <w:rPr>
          <w:rFonts w:ascii="Calibri" w:hAnsi="Calibri"/>
          <w:sz w:val="20"/>
          <w:szCs w:val="24"/>
        </w:rPr>
        <w:t>above</w:t>
      </w:r>
      <w:proofErr w:type="gramEnd"/>
    </w:p>
    <w:p w14:paraId="440B0B7A" w14:textId="77777777" w:rsidR="00000000" w:rsidRPr="00E31682" w:rsidRDefault="00E31682" w:rsidP="00E31682">
      <w:pPr>
        <w:numPr>
          <w:ilvl w:val="1"/>
          <w:numId w:val="24"/>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1 pt. if no previous violations within last 5 years</w:t>
      </w:r>
    </w:p>
    <w:p w14:paraId="76C41637" w14:textId="02D20B0B" w:rsidR="00E31682" w:rsidRPr="00E31682" w:rsidRDefault="00E31682" w:rsidP="00E31682">
      <w:pPr>
        <w:spacing w:after="0" w:line="240" w:lineRule="auto"/>
        <w:contextualSpacing/>
        <w:rPr>
          <w:rFonts w:ascii="Calibri" w:hAnsi="Calibri"/>
          <w:sz w:val="20"/>
          <w:szCs w:val="24"/>
        </w:rPr>
      </w:pPr>
      <w:r>
        <w:rPr>
          <w:rFonts w:ascii="Calibri" w:hAnsi="Calibri"/>
          <w:sz w:val="20"/>
          <w:szCs w:val="24"/>
        </w:rPr>
        <w:t>C</w:t>
      </w:r>
      <w:proofErr w:type="gramStart"/>
      <w:r>
        <w:rPr>
          <w:rFonts w:ascii="Calibri" w:hAnsi="Calibri"/>
          <w:sz w:val="20"/>
          <w:szCs w:val="24"/>
        </w:rPr>
        <w:t xml:space="preserve">=  </w:t>
      </w:r>
      <w:r w:rsidRPr="00E31682">
        <w:rPr>
          <w:rFonts w:ascii="Calibri" w:hAnsi="Calibri"/>
          <w:sz w:val="20"/>
          <w:szCs w:val="24"/>
        </w:rPr>
        <w:t>1</w:t>
      </w:r>
      <w:proofErr w:type="gramEnd"/>
      <w:r w:rsidRPr="00E31682">
        <w:rPr>
          <w:rFonts w:ascii="Calibri" w:hAnsi="Calibri"/>
          <w:sz w:val="20"/>
          <w:szCs w:val="24"/>
        </w:rPr>
        <w:t xml:space="preserve">-6 pts. </w:t>
      </w:r>
      <w:proofErr w:type="gramStart"/>
      <w:r w:rsidRPr="00E31682">
        <w:rPr>
          <w:rFonts w:ascii="Calibri" w:hAnsi="Calibri"/>
          <w:sz w:val="20"/>
          <w:szCs w:val="24"/>
        </w:rPr>
        <w:t>depending</w:t>
      </w:r>
      <w:proofErr w:type="gramEnd"/>
      <w:r w:rsidRPr="00E31682">
        <w:rPr>
          <w:rFonts w:ascii="Calibri" w:hAnsi="Calibri"/>
          <w:sz w:val="20"/>
          <w:szCs w:val="24"/>
        </w:rPr>
        <w:t xml:space="preserve"> on PWS class - how many connections does it serve?</w:t>
      </w:r>
    </w:p>
    <w:p w14:paraId="5B954672" w14:textId="399FF5AF" w:rsidR="00E31682" w:rsidRPr="00E31682" w:rsidRDefault="00E31682" w:rsidP="00E31682">
      <w:pPr>
        <w:spacing w:after="0" w:line="240" w:lineRule="auto"/>
        <w:contextualSpacing/>
        <w:rPr>
          <w:rFonts w:ascii="Calibri" w:hAnsi="Calibri"/>
          <w:sz w:val="20"/>
          <w:szCs w:val="24"/>
        </w:rPr>
      </w:pPr>
      <w:r w:rsidRPr="00E31682">
        <w:rPr>
          <w:rFonts w:ascii="Calibri" w:hAnsi="Calibri"/>
          <w:sz w:val="20"/>
          <w:szCs w:val="24"/>
        </w:rPr>
        <w:t xml:space="preserve">D=  (economic savings + department's reasonable costs) * number of days of violation </w:t>
      </w:r>
    </w:p>
    <w:p w14:paraId="08BC7708" w14:textId="77777777" w:rsidR="00000000" w:rsidRPr="00E31682" w:rsidRDefault="00E31682" w:rsidP="00E31682">
      <w:pPr>
        <w:numPr>
          <w:ilvl w:val="1"/>
          <w:numId w:val="25"/>
        </w:numPr>
        <w:tabs>
          <w:tab w:val="clear" w:pos="1440"/>
        </w:tabs>
        <w:spacing w:after="0" w:line="240" w:lineRule="auto"/>
        <w:ind w:left="720"/>
        <w:contextualSpacing/>
        <w:rPr>
          <w:rFonts w:ascii="Calibri" w:hAnsi="Calibri"/>
          <w:sz w:val="20"/>
          <w:szCs w:val="24"/>
        </w:rPr>
      </w:pPr>
      <w:r w:rsidRPr="00E31682">
        <w:rPr>
          <w:rFonts w:ascii="Calibri" w:hAnsi="Calibri"/>
          <w:sz w:val="20"/>
          <w:szCs w:val="24"/>
        </w:rPr>
        <w:t>Allows DEC to adjust the fine based on the size of the impact on the public, how fast the violation was fixed, how much of the pr</w:t>
      </w:r>
      <w:r w:rsidRPr="00E31682">
        <w:rPr>
          <w:rFonts w:ascii="Calibri" w:hAnsi="Calibri"/>
          <w:sz w:val="20"/>
          <w:szCs w:val="24"/>
        </w:rPr>
        <w:t>oblem was under the PWS’s control, etc.</w:t>
      </w:r>
      <w:bookmarkStart w:id="6" w:name="_GoBack"/>
      <w:bookmarkEnd w:id="6"/>
    </w:p>
    <w:p w14:paraId="3A70791E" w14:textId="77777777" w:rsidR="00ED2556" w:rsidRDefault="00ED2556" w:rsidP="00F54091">
      <w:pPr>
        <w:spacing w:after="0" w:line="240" w:lineRule="auto"/>
        <w:contextualSpacing/>
        <w:rPr>
          <w:rFonts w:ascii="Calibri" w:hAnsi="Calibri"/>
          <w:sz w:val="24"/>
          <w:szCs w:val="24"/>
        </w:rPr>
      </w:pPr>
    </w:p>
    <w:p w14:paraId="722AAE9C" w14:textId="7D60CE8A" w:rsidR="00076A3C" w:rsidRPr="00F31252" w:rsidRDefault="00FC4023" w:rsidP="00685AD5">
      <w:pPr>
        <w:spacing w:after="0" w:line="240" w:lineRule="auto"/>
        <w:contextualSpacing/>
        <w:jc w:val="both"/>
        <w:rPr>
          <w:rFonts w:ascii="Calibri" w:hAnsi="Calibri"/>
          <w:b/>
          <w:sz w:val="24"/>
          <w:szCs w:val="24"/>
          <w:u w:val="single"/>
        </w:rPr>
      </w:pPr>
      <w:r w:rsidRPr="00F31252">
        <w:rPr>
          <w:rFonts w:ascii="Calibri" w:hAnsi="Calibri"/>
          <w:b/>
          <w:sz w:val="24"/>
          <w:szCs w:val="24"/>
          <w:u w:val="single"/>
        </w:rPr>
        <w:t>Other Resources</w:t>
      </w:r>
    </w:p>
    <w:p w14:paraId="6A7996B9" w14:textId="1A9D1199" w:rsidR="00F54091" w:rsidRPr="00C300F3" w:rsidRDefault="00E31682" w:rsidP="00F54091">
      <w:pPr>
        <w:spacing w:after="0" w:line="240" w:lineRule="auto"/>
        <w:contextualSpacing/>
        <w:jc w:val="both"/>
        <w:rPr>
          <w:rFonts w:ascii="Calibri" w:hAnsi="Calibri"/>
          <w:color w:val="000000"/>
          <w:sz w:val="24"/>
          <w:szCs w:val="24"/>
        </w:rPr>
      </w:pPr>
      <w:hyperlink r:id="rId8" w:anchor="nogo" w:history="1">
        <w:r w:rsidR="00C300F3" w:rsidRPr="00281DA6">
          <w:rPr>
            <w:rStyle w:val="Hyperlink"/>
            <w:rFonts w:ascii="Calibri" w:hAnsi="Calibri"/>
            <w:sz w:val="24"/>
            <w:szCs w:val="24"/>
          </w:rPr>
          <w:t>https://dec.alaska.gov/eh/dw/contact#nogo</w:t>
        </w:r>
      </w:hyperlink>
      <w:r w:rsidR="00C300F3">
        <w:rPr>
          <w:rFonts w:ascii="Calibri" w:hAnsi="Calibri"/>
          <w:color w:val="000000"/>
          <w:sz w:val="24"/>
          <w:szCs w:val="24"/>
          <w:u w:val="single"/>
        </w:rPr>
        <w:t xml:space="preserve"> </w:t>
      </w:r>
      <w:r w:rsidR="00C300F3">
        <w:rPr>
          <w:rFonts w:ascii="Calibri" w:hAnsi="Calibri"/>
          <w:color w:val="000000"/>
          <w:sz w:val="24"/>
          <w:szCs w:val="24"/>
        </w:rPr>
        <w:t>Contact information for ADEC in all regions and departments, including engineering</w:t>
      </w:r>
    </w:p>
    <w:p w14:paraId="55982161" w14:textId="42328E51" w:rsidR="00076A3C" w:rsidRPr="00F31252" w:rsidRDefault="00076A3C" w:rsidP="00685AD5">
      <w:pPr>
        <w:spacing w:after="0" w:line="240" w:lineRule="auto"/>
        <w:contextualSpacing/>
        <w:jc w:val="both"/>
        <w:rPr>
          <w:rFonts w:ascii="Calibri" w:hAnsi="Calibri"/>
          <w:color w:val="000000"/>
          <w:sz w:val="24"/>
          <w:szCs w:val="24"/>
          <w:u w:val="single"/>
        </w:rPr>
      </w:pPr>
    </w:p>
    <w:sectPr w:rsidR="00076A3C" w:rsidRPr="00F31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68B"/>
    <w:multiLevelType w:val="multilevel"/>
    <w:tmpl w:val="2CFAB75C"/>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1419BB"/>
    <w:multiLevelType w:val="hybridMultilevel"/>
    <w:tmpl w:val="A2E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4FCF"/>
    <w:multiLevelType w:val="hybridMultilevel"/>
    <w:tmpl w:val="432C8420"/>
    <w:lvl w:ilvl="0" w:tplc="B888E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D3102"/>
    <w:multiLevelType w:val="multilevel"/>
    <w:tmpl w:val="C20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161A49"/>
    <w:multiLevelType w:val="multilevel"/>
    <w:tmpl w:val="3F6C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80D98"/>
    <w:multiLevelType w:val="hybridMultilevel"/>
    <w:tmpl w:val="80C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6D7729"/>
    <w:multiLevelType w:val="hybridMultilevel"/>
    <w:tmpl w:val="4D701C36"/>
    <w:lvl w:ilvl="0" w:tplc="BFF4720E">
      <w:start w:val="1"/>
      <w:numFmt w:val="bullet"/>
      <w:lvlText w:val="–"/>
      <w:lvlJc w:val="left"/>
      <w:pPr>
        <w:tabs>
          <w:tab w:val="num" w:pos="720"/>
        </w:tabs>
        <w:ind w:left="720" w:hanging="360"/>
      </w:pPr>
      <w:rPr>
        <w:rFonts w:ascii="Arial" w:hAnsi="Arial" w:hint="default"/>
      </w:rPr>
    </w:lvl>
    <w:lvl w:ilvl="1" w:tplc="259AE9F0">
      <w:start w:val="1"/>
      <w:numFmt w:val="bullet"/>
      <w:lvlText w:val="–"/>
      <w:lvlJc w:val="left"/>
      <w:pPr>
        <w:tabs>
          <w:tab w:val="num" w:pos="1440"/>
        </w:tabs>
        <w:ind w:left="1440" w:hanging="360"/>
      </w:pPr>
      <w:rPr>
        <w:rFonts w:ascii="Arial" w:hAnsi="Arial" w:hint="default"/>
      </w:rPr>
    </w:lvl>
    <w:lvl w:ilvl="2" w:tplc="5C105B82" w:tentative="1">
      <w:start w:val="1"/>
      <w:numFmt w:val="bullet"/>
      <w:lvlText w:val="–"/>
      <w:lvlJc w:val="left"/>
      <w:pPr>
        <w:tabs>
          <w:tab w:val="num" w:pos="2160"/>
        </w:tabs>
        <w:ind w:left="2160" w:hanging="360"/>
      </w:pPr>
      <w:rPr>
        <w:rFonts w:ascii="Arial" w:hAnsi="Arial" w:hint="default"/>
      </w:rPr>
    </w:lvl>
    <w:lvl w:ilvl="3" w:tplc="E15ACD64" w:tentative="1">
      <w:start w:val="1"/>
      <w:numFmt w:val="bullet"/>
      <w:lvlText w:val="–"/>
      <w:lvlJc w:val="left"/>
      <w:pPr>
        <w:tabs>
          <w:tab w:val="num" w:pos="2880"/>
        </w:tabs>
        <w:ind w:left="2880" w:hanging="360"/>
      </w:pPr>
      <w:rPr>
        <w:rFonts w:ascii="Arial" w:hAnsi="Arial" w:hint="default"/>
      </w:rPr>
    </w:lvl>
    <w:lvl w:ilvl="4" w:tplc="ECA61CFA" w:tentative="1">
      <w:start w:val="1"/>
      <w:numFmt w:val="bullet"/>
      <w:lvlText w:val="–"/>
      <w:lvlJc w:val="left"/>
      <w:pPr>
        <w:tabs>
          <w:tab w:val="num" w:pos="3600"/>
        </w:tabs>
        <w:ind w:left="3600" w:hanging="360"/>
      </w:pPr>
      <w:rPr>
        <w:rFonts w:ascii="Arial" w:hAnsi="Arial" w:hint="default"/>
      </w:rPr>
    </w:lvl>
    <w:lvl w:ilvl="5" w:tplc="2B802A56" w:tentative="1">
      <w:start w:val="1"/>
      <w:numFmt w:val="bullet"/>
      <w:lvlText w:val="–"/>
      <w:lvlJc w:val="left"/>
      <w:pPr>
        <w:tabs>
          <w:tab w:val="num" w:pos="4320"/>
        </w:tabs>
        <w:ind w:left="4320" w:hanging="360"/>
      </w:pPr>
      <w:rPr>
        <w:rFonts w:ascii="Arial" w:hAnsi="Arial" w:hint="default"/>
      </w:rPr>
    </w:lvl>
    <w:lvl w:ilvl="6" w:tplc="7F78C330" w:tentative="1">
      <w:start w:val="1"/>
      <w:numFmt w:val="bullet"/>
      <w:lvlText w:val="–"/>
      <w:lvlJc w:val="left"/>
      <w:pPr>
        <w:tabs>
          <w:tab w:val="num" w:pos="5040"/>
        </w:tabs>
        <w:ind w:left="5040" w:hanging="360"/>
      </w:pPr>
      <w:rPr>
        <w:rFonts w:ascii="Arial" w:hAnsi="Arial" w:hint="default"/>
      </w:rPr>
    </w:lvl>
    <w:lvl w:ilvl="7" w:tplc="A802F36C" w:tentative="1">
      <w:start w:val="1"/>
      <w:numFmt w:val="bullet"/>
      <w:lvlText w:val="–"/>
      <w:lvlJc w:val="left"/>
      <w:pPr>
        <w:tabs>
          <w:tab w:val="num" w:pos="5760"/>
        </w:tabs>
        <w:ind w:left="5760" w:hanging="360"/>
      </w:pPr>
      <w:rPr>
        <w:rFonts w:ascii="Arial" w:hAnsi="Arial" w:hint="default"/>
      </w:rPr>
    </w:lvl>
    <w:lvl w:ilvl="8" w:tplc="11D8DAD0" w:tentative="1">
      <w:start w:val="1"/>
      <w:numFmt w:val="bullet"/>
      <w:lvlText w:val="–"/>
      <w:lvlJc w:val="left"/>
      <w:pPr>
        <w:tabs>
          <w:tab w:val="num" w:pos="6480"/>
        </w:tabs>
        <w:ind w:left="6480" w:hanging="360"/>
      </w:pPr>
      <w:rPr>
        <w:rFonts w:ascii="Arial" w:hAnsi="Arial" w:hint="default"/>
      </w:rPr>
    </w:lvl>
  </w:abstractNum>
  <w:abstractNum w:abstractNumId="7">
    <w:nsid w:val="354D1A53"/>
    <w:multiLevelType w:val="hybridMultilevel"/>
    <w:tmpl w:val="F00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A5EF4"/>
    <w:multiLevelType w:val="hybridMultilevel"/>
    <w:tmpl w:val="E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34359"/>
    <w:multiLevelType w:val="multilevel"/>
    <w:tmpl w:val="F11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7B776F"/>
    <w:multiLevelType w:val="multilevel"/>
    <w:tmpl w:val="4C4A23D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0610F45"/>
    <w:multiLevelType w:val="hybridMultilevel"/>
    <w:tmpl w:val="E230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65653"/>
    <w:multiLevelType w:val="hybridMultilevel"/>
    <w:tmpl w:val="05AC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A0B4D"/>
    <w:multiLevelType w:val="hybridMultilevel"/>
    <w:tmpl w:val="90D6C44E"/>
    <w:lvl w:ilvl="0" w:tplc="71D68EF2">
      <w:start w:val="1"/>
      <w:numFmt w:val="bullet"/>
      <w:lvlText w:val="•"/>
      <w:lvlJc w:val="left"/>
      <w:pPr>
        <w:tabs>
          <w:tab w:val="num" w:pos="720"/>
        </w:tabs>
        <w:ind w:left="720" w:hanging="360"/>
      </w:pPr>
      <w:rPr>
        <w:rFonts w:ascii="Arial" w:hAnsi="Arial" w:hint="default"/>
      </w:rPr>
    </w:lvl>
    <w:lvl w:ilvl="1" w:tplc="5A840CDC">
      <w:numFmt w:val="bullet"/>
      <w:lvlText w:val="–"/>
      <w:lvlJc w:val="left"/>
      <w:pPr>
        <w:tabs>
          <w:tab w:val="num" w:pos="1440"/>
        </w:tabs>
        <w:ind w:left="1440" w:hanging="360"/>
      </w:pPr>
      <w:rPr>
        <w:rFonts w:ascii="Arial" w:hAnsi="Arial" w:hint="default"/>
      </w:rPr>
    </w:lvl>
    <w:lvl w:ilvl="2" w:tplc="B4E40250" w:tentative="1">
      <w:start w:val="1"/>
      <w:numFmt w:val="bullet"/>
      <w:lvlText w:val="•"/>
      <w:lvlJc w:val="left"/>
      <w:pPr>
        <w:tabs>
          <w:tab w:val="num" w:pos="2160"/>
        </w:tabs>
        <w:ind w:left="2160" w:hanging="360"/>
      </w:pPr>
      <w:rPr>
        <w:rFonts w:ascii="Arial" w:hAnsi="Arial" w:hint="default"/>
      </w:rPr>
    </w:lvl>
    <w:lvl w:ilvl="3" w:tplc="18F2570C" w:tentative="1">
      <w:start w:val="1"/>
      <w:numFmt w:val="bullet"/>
      <w:lvlText w:val="•"/>
      <w:lvlJc w:val="left"/>
      <w:pPr>
        <w:tabs>
          <w:tab w:val="num" w:pos="2880"/>
        </w:tabs>
        <w:ind w:left="2880" w:hanging="360"/>
      </w:pPr>
      <w:rPr>
        <w:rFonts w:ascii="Arial" w:hAnsi="Arial" w:hint="default"/>
      </w:rPr>
    </w:lvl>
    <w:lvl w:ilvl="4" w:tplc="E4926524" w:tentative="1">
      <w:start w:val="1"/>
      <w:numFmt w:val="bullet"/>
      <w:lvlText w:val="•"/>
      <w:lvlJc w:val="left"/>
      <w:pPr>
        <w:tabs>
          <w:tab w:val="num" w:pos="3600"/>
        </w:tabs>
        <w:ind w:left="3600" w:hanging="360"/>
      </w:pPr>
      <w:rPr>
        <w:rFonts w:ascii="Arial" w:hAnsi="Arial" w:hint="default"/>
      </w:rPr>
    </w:lvl>
    <w:lvl w:ilvl="5" w:tplc="761A4D26" w:tentative="1">
      <w:start w:val="1"/>
      <w:numFmt w:val="bullet"/>
      <w:lvlText w:val="•"/>
      <w:lvlJc w:val="left"/>
      <w:pPr>
        <w:tabs>
          <w:tab w:val="num" w:pos="4320"/>
        </w:tabs>
        <w:ind w:left="4320" w:hanging="360"/>
      </w:pPr>
      <w:rPr>
        <w:rFonts w:ascii="Arial" w:hAnsi="Arial" w:hint="default"/>
      </w:rPr>
    </w:lvl>
    <w:lvl w:ilvl="6" w:tplc="43F8D49C" w:tentative="1">
      <w:start w:val="1"/>
      <w:numFmt w:val="bullet"/>
      <w:lvlText w:val="•"/>
      <w:lvlJc w:val="left"/>
      <w:pPr>
        <w:tabs>
          <w:tab w:val="num" w:pos="5040"/>
        </w:tabs>
        <w:ind w:left="5040" w:hanging="360"/>
      </w:pPr>
      <w:rPr>
        <w:rFonts w:ascii="Arial" w:hAnsi="Arial" w:hint="default"/>
      </w:rPr>
    </w:lvl>
    <w:lvl w:ilvl="7" w:tplc="00D8C03E" w:tentative="1">
      <w:start w:val="1"/>
      <w:numFmt w:val="bullet"/>
      <w:lvlText w:val="•"/>
      <w:lvlJc w:val="left"/>
      <w:pPr>
        <w:tabs>
          <w:tab w:val="num" w:pos="5760"/>
        </w:tabs>
        <w:ind w:left="5760" w:hanging="360"/>
      </w:pPr>
      <w:rPr>
        <w:rFonts w:ascii="Arial" w:hAnsi="Arial" w:hint="default"/>
      </w:rPr>
    </w:lvl>
    <w:lvl w:ilvl="8" w:tplc="A0A2111E" w:tentative="1">
      <w:start w:val="1"/>
      <w:numFmt w:val="bullet"/>
      <w:lvlText w:val="•"/>
      <w:lvlJc w:val="left"/>
      <w:pPr>
        <w:tabs>
          <w:tab w:val="num" w:pos="6480"/>
        </w:tabs>
        <w:ind w:left="6480" w:hanging="360"/>
      </w:pPr>
      <w:rPr>
        <w:rFonts w:ascii="Arial" w:hAnsi="Arial" w:hint="default"/>
      </w:rPr>
    </w:lvl>
  </w:abstractNum>
  <w:abstractNum w:abstractNumId="14">
    <w:nsid w:val="5A6A5D84"/>
    <w:multiLevelType w:val="multilevel"/>
    <w:tmpl w:val="A8EC0B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D624F51"/>
    <w:multiLevelType w:val="multilevel"/>
    <w:tmpl w:val="4CF8190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ECF6B95"/>
    <w:multiLevelType w:val="multilevel"/>
    <w:tmpl w:val="08DACFD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1106187"/>
    <w:multiLevelType w:val="hybridMultilevel"/>
    <w:tmpl w:val="9C9A7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A71807"/>
    <w:multiLevelType w:val="multilevel"/>
    <w:tmpl w:val="0750D6FA"/>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B601D7A"/>
    <w:multiLevelType w:val="hybridMultilevel"/>
    <w:tmpl w:val="1CA65694"/>
    <w:lvl w:ilvl="0" w:tplc="CCA6A5E6">
      <w:start w:val="1"/>
      <w:numFmt w:val="bullet"/>
      <w:lvlText w:val="•"/>
      <w:lvlJc w:val="left"/>
      <w:pPr>
        <w:tabs>
          <w:tab w:val="num" w:pos="720"/>
        </w:tabs>
        <w:ind w:left="720" w:hanging="360"/>
      </w:pPr>
      <w:rPr>
        <w:rFonts w:ascii="Arial" w:hAnsi="Arial" w:hint="default"/>
      </w:rPr>
    </w:lvl>
    <w:lvl w:ilvl="1" w:tplc="E8A24636" w:tentative="1">
      <w:start w:val="1"/>
      <w:numFmt w:val="bullet"/>
      <w:lvlText w:val="•"/>
      <w:lvlJc w:val="left"/>
      <w:pPr>
        <w:tabs>
          <w:tab w:val="num" w:pos="1440"/>
        </w:tabs>
        <w:ind w:left="1440" w:hanging="360"/>
      </w:pPr>
      <w:rPr>
        <w:rFonts w:ascii="Arial" w:hAnsi="Arial" w:hint="default"/>
      </w:rPr>
    </w:lvl>
    <w:lvl w:ilvl="2" w:tplc="E27E805C" w:tentative="1">
      <w:start w:val="1"/>
      <w:numFmt w:val="bullet"/>
      <w:lvlText w:val="•"/>
      <w:lvlJc w:val="left"/>
      <w:pPr>
        <w:tabs>
          <w:tab w:val="num" w:pos="2160"/>
        </w:tabs>
        <w:ind w:left="2160" w:hanging="360"/>
      </w:pPr>
      <w:rPr>
        <w:rFonts w:ascii="Arial" w:hAnsi="Arial" w:hint="default"/>
      </w:rPr>
    </w:lvl>
    <w:lvl w:ilvl="3" w:tplc="B7B673EA" w:tentative="1">
      <w:start w:val="1"/>
      <w:numFmt w:val="bullet"/>
      <w:lvlText w:val="•"/>
      <w:lvlJc w:val="left"/>
      <w:pPr>
        <w:tabs>
          <w:tab w:val="num" w:pos="2880"/>
        </w:tabs>
        <w:ind w:left="2880" w:hanging="360"/>
      </w:pPr>
      <w:rPr>
        <w:rFonts w:ascii="Arial" w:hAnsi="Arial" w:hint="default"/>
      </w:rPr>
    </w:lvl>
    <w:lvl w:ilvl="4" w:tplc="56F2DD74" w:tentative="1">
      <w:start w:val="1"/>
      <w:numFmt w:val="bullet"/>
      <w:lvlText w:val="•"/>
      <w:lvlJc w:val="left"/>
      <w:pPr>
        <w:tabs>
          <w:tab w:val="num" w:pos="3600"/>
        </w:tabs>
        <w:ind w:left="3600" w:hanging="360"/>
      </w:pPr>
      <w:rPr>
        <w:rFonts w:ascii="Arial" w:hAnsi="Arial" w:hint="default"/>
      </w:rPr>
    </w:lvl>
    <w:lvl w:ilvl="5" w:tplc="596612B4" w:tentative="1">
      <w:start w:val="1"/>
      <w:numFmt w:val="bullet"/>
      <w:lvlText w:val="•"/>
      <w:lvlJc w:val="left"/>
      <w:pPr>
        <w:tabs>
          <w:tab w:val="num" w:pos="4320"/>
        </w:tabs>
        <w:ind w:left="4320" w:hanging="360"/>
      </w:pPr>
      <w:rPr>
        <w:rFonts w:ascii="Arial" w:hAnsi="Arial" w:hint="default"/>
      </w:rPr>
    </w:lvl>
    <w:lvl w:ilvl="6" w:tplc="D80835F4" w:tentative="1">
      <w:start w:val="1"/>
      <w:numFmt w:val="bullet"/>
      <w:lvlText w:val="•"/>
      <w:lvlJc w:val="left"/>
      <w:pPr>
        <w:tabs>
          <w:tab w:val="num" w:pos="5040"/>
        </w:tabs>
        <w:ind w:left="5040" w:hanging="360"/>
      </w:pPr>
      <w:rPr>
        <w:rFonts w:ascii="Arial" w:hAnsi="Arial" w:hint="default"/>
      </w:rPr>
    </w:lvl>
    <w:lvl w:ilvl="7" w:tplc="4DA63918" w:tentative="1">
      <w:start w:val="1"/>
      <w:numFmt w:val="bullet"/>
      <w:lvlText w:val="•"/>
      <w:lvlJc w:val="left"/>
      <w:pPr>
        <w:tabs>
          <w:tab w:val="num" w:pos="5760"/>
        </w:tabs>
        <w:ind w:left="5760" w:hanging="360"/>
      </w:pPr>
      <w:rPr>
        <w:rFonts w:ascii="Arial" w:hAnsi="Arial" w:hint="default"/>
      </w:rPr>
    </w:lvl>
    <w:lvl w:ilvl="8" w:tplc="E154D448" w:tentative="1">
      <w:start w:val="1"/>
      <w:numFmt w:val="bullet"/>
      <w:lvlText w:val="•"/>
      <w:lvlJc w:val="left"/>
      <w:pPr>
        <w:tabs>
          <w:tab w:val="num" w:pos="6480"/>
        </w:tabs>
        <w:ind w:left="6480" w:hanging="360"/>
      </w:pPr>
      <w:rPr>
        <w:rFonts w:ascii="Arial" w:hAnsi="Arial" w:hint="default"/>
      </w:rPr>
    </w:lvl>
  </w:abstractNum>
  <w:abstractNum w:abstractNumId="20">
    <w:nsid w:val="6E021566"/>
    <w:multiLevelType w:val="multilevel"/>
    <w:tmpl w:val="1C0C42C2"/>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EAE53FF"/>
    <w:multiLevelType w:val="hybridMultilevel"/>
    <w:tmpl w:val="23E8EFCC"/>
    <w:lvl w:ilvl="0" w:tplc="E5B4B3C2">
      <w:start w:val="1"/>
      <w:numFmt w:val="bullet"/>
      <w:lvlText w:val="–"/>
      <w:lvlJc w:val="left"/>
      <w:pPr>
        <w:tabs>
          <w:tab w:val="num" w:pos="720"/>
        </w:tabs>
        <w:ind w:left="720" w:hanging="360"/>
      </w:pPr>
      <w:rPr>
        <w:rFonts w:ascii="Arial" w:hAnsi="Arial" w:hint="default"/>
      </w:rPr>
    </w:lvl>
    <w:lvl w:ilvl="1" w:tplc="CC36AEDC">
      <w:start w:val="1"/>
      <w:numFmt w:val="bullet"/>
      <w:lvlText w:val="–"/>
      <w:lvlJc w:val="left"/>
      <w:pPr>
        <w:tabs>
          <w:tab w:val="num" w:pos="1440"/>
        </w:tabs>
        <w:ind w:left="1440" w:hanging="360"/>
      </w:pPr>
      <w:rPr>
        <w:rFonts w:ascii="Arial" w:hAnsi="Arial" w:hint="default"/>
      </w:rPr>
    </w:lvl>
    <w:lvl w:ilvl="2" w:tplc="D768738C" w:tentative="1">
      <w:start w:val="1"/>
      <w:numFmt w:val="bullet"/>
      <w:lvlText w:val="–"/>
      <w:lvlJc w:val="left"/>
      <w:pPr>
        <w:tabs>
          <w:tab w:val="num" w:pos="2160"/>
        </w:tabs>
        <w:ind w:left="2160" w:hanging="360"/>
      </w:pPr>
      <w:rPr>
        <w:rFonts w:ascii="Arial" w:hAnsi="Arial" w:hint="default"/>
      </w:rPr>
    </w:lvl>
    <w:lvl w:ilvl="3" w:tplc="55D6556A" w:tentative="1">
      <w:start w:val="1"/>
      <w:numFmt w:val="bullet"/>
      <w:lvlText w:val="–"/>
      <w:lvlJc w:val="left"/>
      <w:pPr>
        <w:tabs>
          <w:tab w:val="num" w:pos="2880"/>
        </w:tabs>
        <w:ind w:left="2880" w:hanging="360"/>
      </w:pPr>
      <w:rPr>
        <w:rFonts w:ascii="Arial" w:hAnsi="Arial" w:hint="default"/>
      </w:rPr>
    </w:lvl>
    <w:lvl w:ilvl="4" w:tplc="23D64A60" w:tentative="1">
      <w:start w:val="1"/>
      <w:numFmt w:val="bullet"/>
      <w:lvlText w:val="–"/>
      <w:lvlJc w:val="left"/>
      <w:pPr>
        <w:tabs>
          <w:tab w:val="num" w:pos="3600"/>
        </w:tabs>
        <w:ind w:left="3600" w:hanging="360"/>
      </w:pPr>
      <w:rPr>
        <w:rFonts w:ascii="Arial" w:hAnsi="Arial" w:hint="default"/>
      </w:rPr>
    </w:lvl>
    <w:lvl w:ilvl="5" w:tplc="D3E23344" w:tentative="1">
      <w:start w:val="1"/>
      <w:numFmt w:val="bullet"/>
      <w:lvlText w:val="–"/>
      <w:lvlJc w:val="left"/>
      <w:pPr>
        <w:tabs>
          <w:tab w:val="num" w:pos="4320"/>
        </w:tabs>
        <w:ind w:left="4320" w:hanging="360"/>
      </w:pPr>
      <w:rPr>
        <w:rFonts w:ascii="Arial" w:hAnsi="Arial" w:hint="default"/>
      </w:rPr>
    </w:lvl>
    <w:lvl w:ilvl="6" w:tplc="41104D8A" w:tentative="1">
      <w:start w:val="1"/>
      <w:numFmt w:val="bullet"/>
      <w:lvlText w:val="–"/>
      <w:lvlJc w:val="left"/>
      <w:pPr>
        <w:tabs>
          <w:tab w:val="num" w:pos="5040"/>
        </w:tabs>
        <w:ind w:left="5040" w:hanging="360"/>
      </w:pPr>
      <w:rPr>
        <w:rFonts w:ascii="Arial" w:hAnsi="Arial" w:hint="default"/>
      </w:rPr>
    </w:lvl>
    <w:lvl w:ilvl="7" w:tplc="2766DF3A" w:tentative="1">
      <w:start w:val="1"/>
      <w:numFmt w:val="bullet"/>
      <w:lvlText w:val="–"/>
      <w:lvlJc w:val="left"/>
      <w:pPr>
        <w:tabs>
          <w:tab w:val="num" w:pos="5760"/>
        </w:tabs>
        <w:ind w:left="5760" w:hanging="360"/>
      </w:pPr>
      <w:rPr>
        <w:rFonts w:ascii="Arial" w:hAnsi="Arial" w:hint="default"/>
      </w:rPr>
    </w:lvl>
    <w:lvl w:ilvl="8" w:tplc="3A60BDF4" w:tentative="1">
      <w:start w:val="1"/>
      <w:numFmt w:val="bullet"/>
      <w:lvlText w:val="–"/>
      <w:lvlJc w:val="left"/>
      <w:pPr>
        <w:tabs>
          <w:tab w:val="num" w:pos="6480"/>
        </w:tabs>
        <w:ind w:left="6480" w:hanging="360"/>
      </w:pPr>
      <w:rPr>
        <w:rFonts w:ascii="Arial" w:hAnsi="Arial" w:hint="default"/>
      </w:rPr>
    </w:lvl>
  </w:abstractNum>
  <w:abstractNum w:abstractNumId="22">
    <w:nsid w:val="74884FF2"/>
    <w:multiLevelType w:val="hybridMultilevel"/>
    <w:tmpl w:val="891E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A68EF"/>
    <w:multiLevelType w:val="multilevel"/>
    <w:tmpl w:val="D88AE74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FE24F04"/>
    <w:multiLevelType w:val="hybridMultilevel"/>
    <w:tmpl w:val="1F80E092"/>
    <w:lvl w:ilvl="0" w:tplc="E2A6BF34">
      <w:start w:val="1"/>
      <w:numFmt w:val="bullet"/>
      <w:lvlText w:val="–"/>
      <w:lvlJc w:val="left"/>
      <w:pPr>
        <w:tabs>
          <w:tab w:val="num" w:pos="720"/>
        </w:tabs>
        <w:ind w:left="720" w:hanging="360"/>
      </w:pPr>
      <w:rPr>
        <w:rFonts w:ascii="Arial" w:hAnsi="Arial" w:hint="default"/>
      </w:rPr>
    </w:lvl>
    <w:lvl w:ilvl="1" w:tplc="E8A6B598">
      <w:start w:val="1"/>
      <w:numFmt w:val="bullet"/>
      <w:lvlText w:val="–"/>
      <w:lvlJc w:val="left"/>
      <w:pPr>
        <w:tabs>
          <w:tab w:val="num" w:pos="1440"/>
        </w:tabs>
        <w:ind w:left="1440" w:hanging="360"/>
      </w:pPr>
      <w:rPr>
        <w:rFonts w:ascii="Arial" w:hAnsi="Arial" w:hint="default"/>
      </w:rPr>
    </w:lvl>
    <w:lvl w:ilvl="2" w:tplc="0B1EBFB2" w:tentative="1">
      <w:start w:val="1"/>
      <w:numFmt w:val="bullet"/>
      <w:lvlText w:val="–"/>
      <w:lvlJc w:val="left"/>
      <w:pPr>
        <w:tabs>
          <w:tab w:val="num" w:pos="2160"/>
        </w:tabs>
        <w:ind w:left="2160" w:hanging="360"/>
      </w:pPr>
      <w:rPr>
        <w:rFonts w:ascii="Arial" w:hAnsi="Arial" w:hint="default"/>
      </w:rPr>
    </w:lvl>
    <w:lvl w:ilvl="3" w:tplc="AAB22386" w:tentative="1">
      <w:start w:val="1"/>
      <w:numFmt w:val="bullet"/>
      <w:lvlText w:val="–"/>
      <w:lvlJc w:val="left"/>
      <w:pPr>
        <w:tabs>
          <w:tab w:val="num" w:pos="2880"/>
        </w:tabs>
        <w:ind w:left="2880" w:hanging="360"/>
      </w:pPr>
      <w:rPr>
        <w:rFonts w:ascii="Arial" w:hAnsi="Arial" w:hint="default"/>
      </w:rPr>
    </w:lvl>
    <w:lvl w:ilvl="4" w:tplc="45204858" w:tentative="1">
      <w:start w:val="1"/>
      <w:numFmt w:val="bullet"/>
      <w:lvlText w:val="–"/>
      <w:lvlJc w:val="left"/>
      <w:pPr>
        <w:tabs>
          <w:tab w:val="num" w:pos="3600"/>
        </w:tabs>
        <w:ind w:left="3600" w:hanging="360"/>
      </w:pPr>
      <w:rPr>
        <w:rFonts w:ascii="Arial" w:hAnsi="Arial" w:hint="default"/>
      </w:rPr>
    </w:lvl>
    <w:lvl w:ilvl="5" w:tplc="A7283934" w:tentative="1">
      <w:start w:val="1"/>
      <w:numFmt w:val="bullet"/>
      <w:lvlText w:val="–"/>
      <w:lvlJc w:val="left"/>
      <w:pPr>
        <w:tabs>
          <w:tab w:val="num" w:pos="4320"/>
        </w:tabs>
        <w:ind w:left="4320" w:hanging="360"/>
      </w:pPr>
      <w:rPr>
        <w:rFonts w:ascii="Arial" w:hAnsi="Arial" w:hint="default"/>
      </w:rPr>
    </w:lvl>
    <w:lvl w:ilvl="6" w:tplc="1048F082" w:tentative="1">
      <w:start w:val="1"/>
      <w:numFmt w:val="bullet"/>
      <w:lvlText w:val="–"/>
      <w:lvlJc w:val="left"/>
      <w:pPr>
        <w:tabs>
          <w:tab w:val="num" w:pos="5040"/>
        </w:tabs>
        <w:ind w:left="5040" w:hanging="360"/>
      </w:pPr>
      <w:rPr>
        <w:rFonts w:ascii="Arial" w:hAnsi="Arial" w:hint="default"/>
      </w:rPr>
    </w:lvl>
    <w:lvl w:ilvl="7" w:tplc="329AC0D2" w:tentative="1">
      <w:start w:val="1"/>
      <w:numFmt w:val="bullet"/>
      <w:lvlText w:val="–"/>
      <w:lvlJc w:val="left"/>
      <w:pPr>
        <w:tabs>
          <w:tab w:val="num" w:pos="5760"/>
        </w:tabs>
        <w:ind w:left="5760" w:hanging="360"/>
      </w:pPr>
      <w:rPr>
        <w:rFonts w:ascii="Arial" w:hAnsi="Arial" w:hint="default"/>
      </w:rPr>
    </w:lvl>
    <w:lvl w:ilvl="8" w:tplc="E9A61A1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9"/>
  </w:num>
  <w:num w:numId="3">
    <w:abstractNumId w:val="3"/>
  </w:num>
  <w:num w:numId="4">
    <w:abstractNumId w:val="5"/>
  </w:num>
  <w:num w:numId="5">
    <w:abstractNumId w:val="4"/>
  </w:num>
  <w:num w:numId="6">
    <w:abstractNumId w:val="7"/>
  </w:num>
  <w:num w:numId="7">
    <w:abstractNumId w:val="16"/>
  </w:num>
  <w:num w:numId="8">
    <w:abstractNumId w:val="0"/>
  </w:num>
  <w:num w:numId="9">
    <w:abstractNumId w:val="23"/>
  </w:num>
  <w:num w:numId="10">
    <w:abstractNumId w:val="14"/>
  </w:num>
  <w:num w:numId="11">
    <w:abstractNumId w:val="20"/>
  </w:num>
  <w:num w:numId="12">
    <w:abstractNumId w:val="10"/>
  </w:num>
  <w:num w:numId="13">
    <w:abstractNumId w:val="18"/>
  </w:num>
  <w:num w:numId="14">
    <w:abstractNumId w:val="15"/>
  </w:num>
  <w:num w:numId="15">
    <w:abstractNumId w:val="17"/>
  </w:num>
  <w:num w:numId="16">
    <w:abstractNumId w:val="2"/>
  </w:num>
  <w:num w:numId="17">
    <w:abstractNumId w:val="11"/>
  </w:num>
  <w:num w:numId="18">
    <w:abstractNumId w:val="8"/>
  </w:num>
  <w:num w:numId="19">
    <w:abstractNumId w:val="1"/>
  </w:num>
  <w:num w:numId="20">
    <w:abstractNumId w:val="12"/>
  </w:num>
  <w:num w:numId="21">
    <w:abstractNumId w:val="22"/>
  </w:num>
  <w:num w:numId="22">
    <w:abstractNumId w:val="13"/>
  </w:num>
  <w:num w:numId="23">
    <w:abstractNumId w:val="21"/>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DB"/>
    <w:rsid w:val="000158D7"/>
    <w:rsid w:val="00056C8C"/>
    <w:rsid w:val="00076A3C"/>
    <w:rsid w:val="000912BC"/>
    <w:rsid w:val="00174EF8"/>
    <w:rsid w:val="00191309"/>
    <w:rsid w:val="001B178A"/>
    <w:rsid w:val="001E7F91"/>
    <w:rsid w:val="001F207F"/>
    <w:rsid w:val="002638E7"/>
    <w:rsid w:val="002A321D"/>
    <w:rsid w:val="002A3FC2"/>
    <w:rsid w:val="00317ACA"/>
    <w:rsid w:val="003316BA"/>
    <w:rsid w:val="003A3197"/>
    <w:rsid w:val="00480AB7"/>
    <w:rsid w:val="00485E48"/>
    <w:rsid w:val="004A0532"/>
    <w:rsid w:val="004D1365"/>
    <w:rsid w:val="00555780"/>
    <w:rsid w:val="005741C5"/>
    <w:rsid w:val="005B665B"/>
    <w:rsid w:val="005C3146"/>
    <w:rsid w:val="00685AD5"/>
    <w:rsid w:val="006E7F68"/>
    <w:rsid w:val="00715F46"/>
    <w:rsid w:val="0073445B"/>
    <w:rsid w:val="007E00FA"/>
    <w:rsid w:val="00833017"/>
    <w:rsid w:val="0084376F"/>
    <w:rsid w:val="00892F92"/>
    <w:rsid w:val="008A3ABB"/>
    <w:rsid w:val="008B2102"/>
    <w:rsid w:val="009A5555"/>
    <w:rsid w:val="009D4374"/>
    <w:rsid w:val="00A412FD"/>
    <w:rsid w:val="00A57CB5"/>
    <w:rsid w:val="00A63516"/>
    <w:rsid w:val="00A66FFB"/>
    <w:rsid w:val="00A8204A"/>
    <w:rsid w:val="00B06B10"/>
    <w:rsid w:val="00B306C7"/>
    <w:rsid w:val="00B51DAF"/>
    <w:rsid w:val="00BC3EDB"/>
    <w:rsid w:val="00C21E4A"/>
    <w:rsid w:val="00C300F3"/>
    <w:rsid w:val="00CA1E10"/>
    <w:rsid w:val="00E0611E"/>
    <w:rsid w:val="00E07474"/>
    <w:rsid w:val="00E31682"/>
    <w:rsid w:val="00E5506D"/>
    <w:rsid w:val="00EC40A1"/>
    <w:rsid w:val="00ED2556"/>
    <w:rsid w:val="00EE75EA"/>
    <w:rsid w:val="00EF40FA"/>
    <w:rsid w:val="00F146F4"/>
    <w:rsid w:val="00F31252"/>
    <w:rsid w:val="00F379AA"/>
    <w:rsid w:val="00F45868"/>
    <w:rsid w:val="00F54091"/>
    <w:rsid w:val="00FC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semiHidden/>
    <w:unhideWhenUsed/>
    <w:rsid w:val="00E5506D"/>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semiHidden/>
    <w:unhideWhenUsed/>
    <w:rsid w:val="00E5506D"/>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7808">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4991">
          <w:marLeft w:val="0"/>
          <w:marRight w:val="0"/>
          <w:marTop w:val="0"/>
          <w:marBottom w:val="0"/>
          <w:divBdr>
            <w:top w:val="none" w:sz="0" w:space="0" w:color="auto"/>
            <w:left w:val="none" w:sz="0" w:space="0" w:color="auto"/>
            <w:bottom w:val="none" w:sz="0" w:space="0" w:color="auto"/>
            <w:right w:val="none" w:sz="0" w:space="0" w:color="auto"/>
          </w:divBdr>
          <w:divsChild>
            <w:div w:id="654987727">
              <w:marLeft w:val="0"/>
              <w:marRight w:val="0"/>
              <w:marTop w:val="100"/>
              <w:marBottom w:val="100"/>
              <w:divBdr>
                <w:top w:val="none" w:sz="0" w:space="0" w:color="auto"/>
                <w:left w:val="none" w:sz="0" w:space="0" w:color="auto"/>
                <w:bottom w:val="none" w:sz="0" w:space="0" w:color="auto"/>
                <w:right w:val="none" w:sz="0" w:space="0" w:color="auto"/>
              </w:divBdr>
              <w:divsChild>
                <w:div w:id="1534731174">
                  <w:marLeft w:val="0"/>
                  <w:marRight w:val="0"/>
                  <w:marTop w:val="0"/>
                  <w:marBottom w:val="0"/>
                  <w:divBdr>
                    <w:top w:val="none" w:sz="0" w:space="0" w:color="auto"/>
                    <w:left w:val="none" w:sz="0" w:space="0" w:color="auto"/>
                    <w:bottom w:val="none" w:sz="0" w:space="0" w:color="auto"/>
                    <w:right w:val="none" w:sz="0" w:space="0" w:color="auto"/>
                  </w:divBdr>
                  <w:divsChild>
                    <w:div w:id="1840342165">
                      <w:marLeft w:val="0"/>
                      <w:marRight w:val="0"/>
                      <w:marTop w:val="150"/>
                      <w:marBottom w:val="0"/>
                      <w:divBdr>
                        <w:top w:val="none" w:sz="0" w:space="0" w:color="auto"/>
                        <w:left w:val="none" w:sz="0" w:space="0" w:color="auto"/>
                        <w:bottom w:val="none" w:sz="0" w:space="0" w:color="auto"/>
                        <w:right w:val="none" w:sz="0" w:space="0" w:color="auto"/>
                      </w:divBdr>
                      <w:divsChild>
                        <w:div w:id="1257247474">
                          <w:marLeft w:val="0"/>
                          <w:marRight w:val="0"/>
                          <w:marTop w:val="150"/>
                          <w:marBottom w:val="225"/>
                          <w:divBdr>
                            <w:top w:val="single" w:sz="6" w:space="0" w:color="3399FF"/>
                            <w:left w:val="single" w:sz="6" w:space="0" w:color="3399FF"/>
                            <w:bottom w:val="single" w:sz="6" w:space="0" w:color="3399FF"/>
                            <w:right w:val="single" w:sz="6" w:space="0" w:color="3399FF"/>
                          </w:divBdr>
                        </w:div>
                      </w:divsChild>
                    </w:div>
                  </w:divsChild>
                </w:div>
              </w:divsChild>
            </w:div>
          </w:divsChild>
        </w:div>
      </w:divsChild>
    </w:div>
    <w:div w:id="593056351">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sChild>
            <w:div w:id="191266475">
              <w:marLeft w:val="0"/>
              <w:marRight w:val="0"/>
              <w:marTop w:val="0"/>
              <w:marBottom w:val="0"/>
              <w:divBdr>
                <w:top w:val="none" w:sz="0" w:space="0" w:color="auto"/>
                <w:left w:val="none" w:sz="0" w:space="0" w:color="auto"/>
                <w:bottom w:val="none" w:sz="0" w:space="0" w:color="auto"/>
                <w:right w:val="none" w:sz="0" w:space="0" w:color="auto"/>
              </w:divBdr>
            </w:div>
            <w:div w:id="181941656">
              <w:marLeft w:val="0"/>
              <w:marRight w:val="0"/>
              <w:marTop w:val="0"/>
              <w:marBottom w:val="0"/>
              <w:divBdr>
                <w:top w:val="none" w:sz="0" w:space="0" w:color="auto"/>
                <w:left w:val="none" w:sz="0" w:space="0" w:color="auto"/>
                <w:bottom w:val="none" w:sz="0" w:space="0" w:color="auto"/>
                <w:right w:val="none" w:sz="0" w:space="0" w:color="auto"/>
              </w:divBdr>
            </w:div>
            <w:div w:id="687559402">
              <w:marLeft w:val="0"/>
              <w:marRight w:val="0"/>
              <w:marTop w:val="0"/>
              <w:marBottom w:val="0"/>
              <w:divBdr>
                <w:top w:val="none" w:sz="0" w:space="0" w:color="auto"/>
                <w:left w:val="none" w:sz="0" w:space="0" w:color="auto"/>
                <w:bottom w:val="none" w:sz="0" w:space="0" w:color="auto"/>
                <w:right w:val="none" w:sz="0" w:space="0" w:color="auto"/>
              </w:divBdr>
            </w:div>
            <w:div w:id="1915042277">
              <w:marLeft w:val="0"/>
              <w:marRight w:val="0"/>
              <w:marTop w:val="0"/>
              <w:marBottom w:val="0"/>
              <w:divBdr>
                <w:top w:val="none" w:sz="0" w:space="0" w:color="auto"/>
                <w:left w:val="none" w:sz="0" w:space="0" w:color="auto"/>
                <w:bottom w:val="none" w:sz="0" w:space="0" w:color="auto"/>
                <w:right w:val="none" w:sz="0" w:space="0" w:color="auto"/>
              </w:divBdr>
            </w:div>
            <w:div w:id="4434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960">
      <w:bodyDiv w:val="1"/>
      <w:marLeft w:val="0"/>
      <w:marRight w:val="0"/>
      <w:marTop w:val="0"/>
      <w:marBottom w:val="0"/>
      <w:divBdr>
        <w:top w:val="none" w:sz="0" w:space="0" w:color="auto"/>
        <w:left w:val="none" w:sz="0" w:space="0" w:color="auto"/>
        <w:bottom w:val="none" w:sz="0" w:space="0" w:color="auto"/>
        <w:right w:val="none" w:sz="0" w:space="0" w:color="auto"/>
      </w:divBdr>
    </w:div>
    <w:div w:id="900218045">
      <w:bodyDiv w:val="1"/>
      <w:marLeft w:val="0"/>
      <w:marRight w:val="0"/>
      <w:marTop w:val="0"/>
      <w:marBottom w:val="0"/>
      <w:divBdr>
        <w:top w:val="none" w:sz="0" w:space="0" w:color="auto"/>
        <w:left w:val="none" w:sz="0" w:space="0" w:color="auto"/>
        <w:bottom w:val="none" w:sz="0" w:space="0" w:color="auto"/>
        <w:right w:val="none" w:sz="0" w:space="0" w:color="auto"/>
      </w:divBdr>
      <w:divsChild>
        <w:div w:id="1024667729">
          <w:marLeft w:val="1166"/>
          <w:marRight w:val="0"/>
          <w:marTop w:val="77"/>
          <w:marBottom w:val="0"/>
          <w:divBdr>
            <w:top w:val="none" w:sz="0" w:space="0" w:color="auto"/>
            <w:left w:val="none" w:sz="0" w:space="0" w:color="auto"/>
            <w:bottom w:val="none" w:sz="0" w:space="0" w:color="auto"/>
            <w:right w:val="none" w:sz="0" w:space="0" w:color="auto"/>
          </w:divBdr>
        </w:div>
        <w:div w:id="2002662651">
          <w:marLeft w:val="1166"/>
          <w:marRight w:val="0"/>
          <w:marTop w:val="77"/>
          <w:marBottom w:val="0"/>
          <w:divBdr>
            <w:top w:val="none" w:sz="0" w:space="0" w:color="auto"/>
            <w:left w:val="none" w:sz="0" w:space="0" w:color="auto"/>
            <w:bottom w:val="none" w:sz="0" w:space="0" w:color="auto"/>
            <w:right w:val="none" w:sz="0" w:space="0" w:color="auto"/>
          </w:divBdr>
        </w:div>
        <w:div w:id="428740611">
          <w:marLeft w:val="1166"/>
          <w:marRight w:val="0"/>
          <w:marTop w:val="77"/>
          <w:marBottom w:val="0"/>
          <w:divBdr>
            <w:top w:val="none" w:sz="0" w:space="0" w:color="auto"/>
            <w:left w:val="none" w:sz="0" w:space="0" w:color="auto"/>
            <w:bottom w:val="none" w:sz="0" w:space="0" w:color="auto"/>
            <w:right w:val="none" w:sz="0" w:space="0" w:color="auto"/>
          </w:divBdr>
        </w:div>
        <w:div w:id="165825432">
          <w:marLeft w:val="1166"/>
          <w:marRight w:val="0"/>
          <w:marTop w:val="77"/>
          <w:marBottom w:val="0"/>
          <w:divBdr>
            <w:top w:val="none" w:sz="0" w:space="0" w:color="auto"/>
            <w:left w:val="none" w:sz="0" w:space="0" w:color="auto"/>
            <w:bottom w:val="none" w:sz="0" w:space="0" w:color="auto"/>
            <w:right w:val="none" w:sz="0" w:space="0" w:color="auto"/>
          </w:divBdr>
        </w:div>
        <w:div w:id="404448982">
          <w:marLeft w:val="1166"/>
          <w:marRight w:val="0"/>
          <w:marTop w:val="77"/>
          <w:marBottom w:val="0"/>
          <w:divBdr>
            <w:top w:val="none" w:sz="0" w:space="0" w:color="auto"/>
            <w:left w:val="none" w:sz="0" w:space="0" w:color="auto"/>
            <w:bottom w:val="none" w:sz="0" w:space="0" w:color="auto"/>
            <w:right w:val="none" w:sz="0" w:space="0" w:color="auto"/>
          </w:divBdr>
        </w:div>
        <w:div w:id="520046068">
          <w:marLeft w:val="1166"/>
          <w:marRight w:val="0"/>
          <w:marTop w:val="77"/>
          <w:marBottom w:val="0"/>
          <w:divBdr>
            <w:top w:val="none" w:sz="0" w:space="0" w:color="auto"/>
            <w:left w:val="none" w:sz="0" w:space="0" w:color="auto"/>
            <w:bottom w:val="none" w:sz="0" w:space="0" w:color="auto"/>
            <w:right w:val="none" w:sz="0" w:space="0" w:color="auto"/>
          </w:divBdr>
        </w:div>
        <w:div w:id="1317760015">
          <w:marLeft w:val="1166"/>
          <w:marRight w:val="0"/>
          <w:marTop w:val="77"/>
          <w:marBottom w:val="0"/>
          <w:divBdr>
            <w:top w:val="none" w:sz="0" w:space="0" w:color="auto"/>
            <w:left w:val="none" w:sz="0" w:space="0" w:color="auto"/>
            <w:bottom w:val="none" w:sz="0" w:space="0" w:color="auto"/>
            <w:right w:val="none" w:sz="0" w:space="0" w:color="auto"/>
          </w:divBdr>
        </w:div>
        <w:div w:id="545915856">
          <w:marLeft w:val="1166"/>
          <w:marRight w:val="0"/>
          <w:marTop w:val="77"/>
          <w:marBottom w:val="0"/>
          <w:divBdr>
            <w:top w:val="none" w:sz="0" w:space="0" w:color="auto"/>
            <w:left w:val="none" w:sz="0" w:space="0" w:color="auto"/>
            <w:bottom w:val="none" w:sz="0" w:space="0" w:color="auto"/>
            <w:right w:val="none" w:sz="0" w:space="0" w:color="auto"/>
          </w:divBdr>
        </w:div>
        <w:div w:id="2144275250">
          <w:marLeft w:val="1166"/>
          <w:marRight w:val="0"/>
          <w:marTop w:val="77"/>
          <w:marBottom w:val="0"/>
          <w:divBdr>
            <w:top w:val="none" w:sz="0" w:space="0" w:color="auto"/>
            <w:left w:val="none" w:sz="0" w:space="0" w:color="auto"/>
            <w:bottom w:val="none" w:sz="0" w:space="0" w:color="auto"/>
            <w:right w:val="none" w:sz="0" w:space="0" w:color="auto"/>
          </w:divBdr>
        </w:div>
        <w:div w:id="1146580350">
          <w:marLeft w:val="1166"/>
          <w:marRight w:val="0"/>
          <w:marTop w:val="77"/>
          <w:marBottom w:val="0"/>
          <w:divBdr>
            <w:top w:val="none" w:sz="0" w:space="0" w:color="auto"/>
            <w:left w:val="none" w:sz="0" w:space="0" w:color="auto"/>
            <w:bottom w:val="none" w:sz="0" w:space="0" w:color="auto"/>
            <w:right w:val="none" w:sz="0" w:space="0" w:color="auto"/>
          </w:divBdr>
        </w:div>
      </w:divsChild>
    </w:div>
    <w:div w:id="1706712730">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1">
          <w:marLeft w:val="547"/>
          <w:marRight w:val="0"/>
          <w:marTop w:val="154"/>
          <w:marBottom w:val="0"/>
          <w:divBdr>
            <w:top w:val="none" w:sz="0" w:space="0" w:color="auto"/>
            <w:left w:val="none" w:sz="0" w:space="0" w:color="auto"/>
            <w:bottom w:val="none" w:sz="0" w:space="0" w:color="auto"/>
            <w:right w:val="none" w:sz="0" w:space="0" w:color="auto"/>
          </w:divBdr>
        </w:div>
      </w:divsChild>
    </w:div>
    <w:div w:id="1912110434">
      <w:bodyDiv w:val="1"/>
      <w:marLeft w:val="0"/>
      <w:marRight w:val="0"/>
      <w:marTop w:val="0"/>
      <w:marBottom w:val="0"/>
      <w:divBdr>
        <w:top w:val="none" w:sz="0" w:space="0" w:color="auto"/>
        <w:left w:val="none" w:sz="0" w:space="0" w:color="auto"/>
        <w:bottom w:val="none" w:sz="0" w:space="0" w:color="auto"/>
        <w:right w:val="none" w:sz="0" w:space="0" w:color="auto"/>
      </w:divBdr>
      <w:divsChild>
        <w:div w:id="59910364">
          <w:marLeft w:val="547"/>
          <w:marRight w:val="0"/>
          <w:marTop w:val="130"/>
          <w:marBottom w:val="0"/>
          <w:divBdr>
            <w:top w:val="none" w:sz="0" w:space="0" w:color="auto"/>
            <w:left w:val="none" w:sz="0" w:space="0" w:color="auto"/>
            <w:bottom w:val="none" w:sz="0" w:space="0" w:color="auto"/>
            <w:right w:val="none" w:sz="0" w:space="0" w:color="auto"/>
          </w:divBdr>
        </w:div>
        <w:div w:id="2102526316">
          <w:marLeft w:val="1166"/>
          <w:marRight w:val="0"/>
          <w:marTop w:val="115"/>
          <w:marBottom w:val="0"/>
          <w:divBdr>
            <w:top w:val="none" w:sz="0" w:space="0" w:color="auto"/>
            <w:left w:val="none" w:sz="0" w:space="0" w:color="auto"/>
            <w:bottom w:val="none" w:sz="0" w:space="0" w:color="auto"/>
            <w:right w:val="none" w:sz="0" w:space="0" w:color="auto"/>
          </w:divBdr>
        </w:div>
        <w:div w:id="376123138">
          <w:marLeft w:val="1166"/>
          <w:marRight w:val="0"/>
          <w:marTop w:val="115"/>
          <w:marBottom w:val="0"/>
          <w:divBdr>
            <w:top w:val="none" w:sz="0" w:space="0" w:color="auto"/>
            <w:left w:val="none" w:sz="0" w:space="0" w:color="auto"/>
            <w:bottom w:val="none" w:sz="0" w:space="0" w:color="auto"/>
            <w:right w:val="none" w:sz="0" w:space="0" w:color="auto"/>
          </w:divBdr>
        </w:div>
        <w:div w:id="152793929">
          <w:marLeft w:val="547"/>
          <w:marRight w:val="0"/>
          <w:marTop w:val="130"/>
          <w:marBottom w:val="0"/>
          <w:divBdr>
            <w:top w:val="none" w:sz="0" w:space="0" w:color="auto"/>
            <w:left w:val="none" w:sz="0" w:space="0" w:color="auto"/>
            <w:bottom w:val="none" w:sz="0" w:space="0" w:color="auto"/>
            <w:right w:val="none" w:sz="0" w:space="0" w:color="auto"/>
          </w:divBdr>
        </w:div>
        <w:div w:id="2079205599">
          <w:marLeft w:val="1166"/>
          <w:marRight w:val="0"/>
          <w:marTop w:val="115"/>
          <w:marBottom w:val="0"/>
          <w:divBdr>
            <w:top w:val="none" w:sz="0" w:space="0" w:color="auto"/>
            <w:left w:val="none" w:sz="0" w:space="0" w:color="auto"/>
            <w:bottom w:val="none" w:sz="0" w:space="0" w:color="auto"/>
            <w:right w:val="none" w:sz="0" w:space="0" w:color="auto"/>
          </w:divBdr>
        </w:div>
        <w:div w:id="1656570204">
          <w:marLeft w:val="547"/>
          <w:marRight w:val="0"/>
          <w:marTop w:val="130"/>
          <w:marBottom w:val="0"/>
          <w:divBdr>
            <w:top w:val="none" w:sz="0" w:space="0" w:color="auto"/>
            <w:left w:val="none" w:sz="0" w:space="0" w:color="auto"/>
            <w:bottom w:val="none" w:sz="0" w:space="0" w:color="auto"/>
            <w:right w:val="none" w:sz="0" w:space="0" w:color="auto"/>
          </w:divBdr>
        </w:div>
        <w:div w:id="567502368">
          <w:marLeft w:val="1166"/>
          <w:marRight w:val="0"/>
          <w:marTop w:val="115"/>
          <w:marBottom w:val="0"/>
          <w:divBdr>
            <w:top w:val="none" w:sz="0" w:space="0" w:color="auto"/>
            <w:left w:val="none" w:sz="0" w:space="0" w:color="auto"/>
            <w:bottom w:val="none" w:sz="0" w:space="0" w:color="auto"/>
            <w:right w:val="none" w:sz="0" w:space="0" w:color="auto"/>
          </w:divBdr>
        </w:div>
        <w:div w:id="19411938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ec.alaska.gov/eh/dw/engineering/plan-review-checklist/" TargetMode="External"/><Relationship Id="rId7" Type="http://schemas.openxmlformats.org/officeDocument/2006/relationships/hyperlink" Target="https://dec.alaska.gov/eh/dw/regulations/" TargetMode="External"/><Relationship Id="rId8" Type="http://schemas.openxmlformats.org/officeDocument/2006/relationships/hyperlink" Target="https://dec.alaska.gov/eh/dw/contac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1284</Words>
  <Characters>7322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Mel Durrett</cp:lastModifiedBy>
  <cp:revision>18</cp:revision>
  <cp:lastPrinted>2016-02-15T21:18:00Z</cp:lastPrinted>
  <dcterms:created xsi:type="dcterms:W3CDTF">2020-01-16T00:14:00Z</dcterms:created>
  <dcterms:modified xsi:type="dcterms:W3CDTF">2020-03-05T01:54:00Z</dcterms:modified>
</cp:coreProperties>
</file>